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02093" w14:textId="2B9DAE7D" w:rsidR="00E22E39" w:rsidRPr="000B0639" w:rsidRDefault="00D7440A" w:rsidP="004B61B3">
      <w:pPr>
        <w:pStyle w:val="3GPPHeader"/>
      </w:pPr>
      <w:r w:rsidRPr="000B0639">
        <w:t>3GPP</w:t>
      </w:r>
      <w:r w:rsidR="00136C0E" w:rsidRPr="000B0639">
        <w:t xml:space="preserve"> TSG RAN WG1 #</w:t>
      </w:r>
      <w:r w:rsidR="00BF1725" w:rsidRPr="000B0639">
        <w:t>102e</w:t>
      </w:r>
      <w:r w:rsidR="00E22E39" w:rsidRPr="000B0639">
        <w:tab/>
      </w:r>
      <w:r w:rsidR="00136C0E" w:rsidRPr="000B0639">
        <w:t>R1-</w:t>
      </w:r>
      <w:r w:rsidR="00BF1725" w:rsidRPr="000B0639">
        <w:t>20</w:t>
      </w:r>
      <w:r w:rsidR="00DC18CD" w:rsidRPr="000B0639">
        <w:t>05925</w:t>
      </w:r>
    </w:p>
    <w:p w14:paraId="378E7328" w14:textId="1C95BA18" w:rsidR="00E22E39" w:rsidRPr="000B0639" w:rsidRDefault="00BF1725" w:rsidP="00E22E39">
      <w:pPr>
        <w:pStyle w:val="3GPPHeader"/>
        <w:rPr>
          <w:rFonts w:eastAsiaTheme="minorHAnsi" w:cstheme="minorBidi"/>
          <w:sz w:val="22"/>
          <w:szCs w:val="22"/>
        </w:rPr>
      </w:pPr>
      <w:r w:rsidRPr="000B0639">
        <w:t>e-</w:t>
      </w:r>
      <w:r w:rsidR="007D2864">
        <w:t>M</w:t>
      </w:r>
      <w:r w:rsidRPr="000B0639">
        <w:t>eeting</w:t>
      </w:r>
      <w:r w:rsidR="00136C0E" w:rsidRPr="000B0639">
        <w:t xml:space="preserve">, </w:t>
      </w:r>
      <w:r w:rsidRPr="000B0639">
        <w:t>August</w:t>
      </w:r>
      <w:r w:rsidR="00E22E39" w:rsidRPr="000B0639">
        <w:t xml:space="preserve"> </w:t>
      </w:r>
      <w:r w:rsidR="00136C0E" w:rsidRPr="000B0639">
        <w:t>1</w:t>
      </w:r>
      <w:r w:rsidRPr="000B0639">
        <w:t>7</w:t>
      </w:r>
      <w:r w:rsidR="00E22E39" w:rsidRPr="000B0639">
        <w:rPr>
          <w:vertAlign w:val="superscript"/>
        </w:rPr>
        <w:t>th</w:t>
      </w:r>
      <w:r w:rsidR="00E22E39" w:rsidRPr="000B0639">
        <w:t xml:space="preserve"> – </w:t>
      </w:r>
      <w:r w:rsidR="00136C0E" w:rsidRPr="000B0639">
        <w:t>2</w:t>
      </w:r>
      <w:r w:rsidRPr="000B0639">
        <w:t>8</w:t>
      </w:r>
      <w:r w:rsidR="00E22E39" w:rsidRPr="000B0639">
        <w:rPr>
          <w:vertAlign w:val="superscript"/>
        </w:rPr>
        <w:t>th</w:t>
      </w:r>
      <w:r w:rsidR="00136C0E" w:rsidRPr="000B0639">
        <w:t>, 20</w:t>
      </w:r>
      <w:r w:rsidRPr="000B0639">
        <w:t>20</w:t>
      </w:r>
    </w:p>
    <w:p w14:paraId="6EE49182" w14:textId="77777777" w:rsidR="00E22E39" w:rsidRPr="000B0639" w:rsidRDefault="00E22E39" w:rsidP="00E22E39">
      <w:pPr>
        <w:pStyle w:val="3GPPHeader"/>
      </w:pPr>
    </w:p>
    <w:p w14:paraId="51AF091C" w14:textId="33C92DBB" w:rsidR="00E22E39" w:rsidRPr="000B0639" w:rsidRDefault="00E22E39" w:rsidP="00E22E39">
      <w:pPr>
        <w:pStyle w:val="3GPPHeader"/>
      </w:pPr>
      <w:r w:rsidRPr="000B0639">
        <w:t>Source:</w:t>
      </w:r>
      <w:r w:rsidRPr="000B0639">
        <w:tab/>
      </w:r>
      <w:r w:rsidR="00B4755F" w:rsidRPr="000B0639">
        <w:t xml:space="preserve">Lenovo, </w:t>
      </w:r>
      <w:r w:rsidR="005D1432" w:rsidRPr="000B0639">
        <w:t>Motorola Mobility</w:t>
      </w:r>
    </w:p>
    <w:p w14:paraId="42FD4BC4" w14:textId="20D3F64E" w:rsidR="00E22E39" w:rsidRPr="000B0639" w:rsidRDefault="00E22E39" w:rsidP="0025055A">
      <w:pPr>
        <w:pStyle w:val="3GPPHeader"/>
      </w:pPr>
      <w:r w:rsidRPr="000B0639">
        <w:t>Title:</w:t>
      </w:r>
      <w:r w:rsidRPr="000B0639">
        <w:tab/>
      </w:r>
      <w:r w:rsidR="00E36636" w:rsidRPr="000B0639">
        <w:t>Enhancements for HST-SFN deployment</w:t>
      </w:r>
    </w:p>
    <w:p w14:paraId="0A507AD1" w14:textId="78B56AA8" w:rsidR="00E22E39" w:rsidRPr="000B0639" w:rsidRDefault="00E22E39" w:rsidP="00E22E39">
      <w:pPr>
        <w:pStyle w:val="3GPPHeader"/>
      </w:pPr>
      <w:r w:rsidRPr="000B0639">
        <w:t>Agenda Item:</w:t>
      </w:r>
      <w:r w:rsidRPr="000B0639">
        <w:tab/>
      </w:r>
      <w:r w:rsidR="00136C0E" w:rsidRPr="000B0639">
        <w:t>8.1</w:t>
      </w:r>
      <w:r w:rsidR="00BF1725" w:rsidRPr="000B0639">
        <w:t>.</w:t>
      </w:r>
      <w:r w:rsidR="00EC288A" w:rsidRPr="000B0639">
        <w:t>2.</w:t>
      </w:r>
      <w:r w:rsidR="00BF1725" w:rsidRPr="000B0639">
        <w:t>4</w:t>
      </w:r>
    </w:p>
    <w:p w14:paraId="4C846AE2" w14:textId="77777777" w:rsidR="00E22E39" w:rsidRPr="000B0639" w:rsidRDefault="00E22E39" w:rsidP="00E22E39">
      <w:pPr>
        <w:pStyle w:val="3GPPHeader"/>
      </w:pPr>
      <w:r w:rsidRPr="000B0639">
        <w:t>Document for:</w:t>
      </w:r>
      <w:r w:rsidRPr="000B0639">
        <w:tab/>
        <w:t>Discussion and Decision</w:t>
      </w:r>
    </w:p>
    <w:p w14:paraId="0F053A78" w14:textId="77777777" w:rsidR="00097A86" w:rsidRPr="000B0639" w:rsidRDefault="00E22E39" w:rsidP="00FD05BA">
      <w:pPr>
        <w:pStyle w:val="Heading1"/>
        <w:rPr>
          <w:lang w:val="en-US"/>
        </w:rPr>
      </w:pPr>
      <w:r w:rsidRPr="000B0639">
        <w:rPr>
          <w:lang w:val="en-US"/>
        </w:rPr>
        <w:t>Introduction</w:t>
      </w:r>
    </w:p>
    <w:p w14:paraId="10C27391" w14:textId="52A03316" w:rsidR="0000320B" w:rsidRPr="000B0639" w:rsidRDefault="00D8185D" w:rsidP="00466866">
      <w:pPr>
        <w:spacing w:line="276" w:lineRule="auto"/>
      </w:pPr>
      <w:r w:rsidRPr="000B0639">
        <w:t xml:space="preserve">In </w:t>
      </w:r>
      <w:r w:rsidR="0000320B" w:rsidRPr="000B0639">
        <w:t>RAN#</w:t>
      </w:r>
      <w:r w:rsidRPr="000B0639">
        <w:t>86</w:t>
      </w:r>
      <w:r w:rsidR="00C0144A">
        <w:t>,</w:t>
      </w:r>
      <w:r w:rsidR="00C0144A" w:rsidRPr="00C0144A">
        <w:t xml:space="preserve"> </w:t>
      </w:r>
      <w:r w:rsidR="00C0144A">
        <w:t>a WI was agreed on further enhancements to the</w:t>
      </w:r>
      <w:r w:rsidR="0000320B" w:rsidRPr="000B0639">
        <w:t xml:space="preserve"> </w:t>
      </w:r>
      <w:r w:rsidRPr="000B0639">
        <w:t xml:space="preserve">MIMO framework for Rel. 17, including enhancements on </w:t>
      </w:r>
      <w:r w:rsidR="000652C7" w:rsidRPr="000B0639">
        <w:t>HST SFN deployment</w:t>
      </w:r>
      <w:r w:rsidR="008F2A09">
        <w:t xml:space="preserve"> [1]</w:t>
      </w:r>
      <w:r w:rsidRPr="000B0639">
        <w:t xml:space="preserve">. </w:t>
      </w:r>
      <w:r w:rsidR="0000320B" w:rsidRPr="000B0639">
        <w:t xml:space="preserve">This contribution </w:t>
      </w:r>
      <w:r w:rsidR="008F2A09">
        <w:t>discusses</w:t>
      </w:r>
      <w:r w:rsidR="000652C7" w:rsidRPr="000B0639">
        <w:t xml:space="preserve"> </w:t>
      </w:r>
      <w:r w:rsidR="008F2A09">
        <w:t>enhancements in</w:t>
      </w:r>
      <w:r w:rsidR="000652C7" w:rsidRPr="000B0639">
        <w:t xml:space="preserve"> HST SFN deployment scenarios, </w:t>
      </w:r>
      <w:r w:rsidR="008F2A09">
        <w:t xml:space="preserve">in </w:t>
      </w:r>
      <w:r w:rsidR="000652C7" w:rsidRPr="000B0639">
        <w:t xml:space="preserve">which </w:t>
      </w:r>
      <w:r w:rsidR="008F2A09">
        <w:t>the channel for the UE-RRH link incurs large</w:t>
      </w:r>
      <w:r w:rsidR="000652C7" w:rsidRPr="000B0639">
        <w:t xml:space="preserve"> Doppler values</w:t>
      </w:r>
      <w:r w:rsidR="008F2A09">
        <w:t xml:space="preserve">, due to the high speed of the train along the </w:t>
      </w:r>
      <w:r w:rsidR="001469B7">
        <w:t>railway</w:t>
      </w:r>
      <w:r w:rsidR="008F2A09">
        <w:t>, where the speed of the train may reach up to 500 km/h</w:t>
      </w:r>
      <w:r w:rsidR="000652C7" w:rsidRPr="000B0639">
        <w:t xml:space="preserve">. </w:t>
      </w:r>
    </w:p>
    <w:p w14:paraId="547F1795" w14:textId="7313FE6D" w:rsidR="00B376BF" w:rsidRPr="000B0639" w:rsidRDefault="00FF09C1" w:rsidP="00B376BF">
      <w:pPr>
        <w:pStyle w:val="Heading1"/>
        <w:rPr>
          <w:lang w:val="en-US"/>
        </w:rPr>
      </w:pPr>
      <w:r w:rsidRPr="000B0639">
        <w:rPr>
          <w:lang w:val="en-US"/>
        </w:rPr>
        <w:t xml:space="preserve">Conventional </w:t>
      </w:r>
      <w:r w:rsidR="00D51923" w:rsidRPr="000B0639">
        <w:rPr>
          <w:lang w:val="en-US"/>
        </w:rPr>
        <w:t>HST-SFN Deployment</w:t>
      </w:r>
    </w:p>
    <w:p w14:paraId="7C26FF12" w14:textId="3C493D1B" w:rsidR="001A3DD0" w:rsidRPr="000B0639" w:rsidRDefault="001A3DD0" w:rsidP="00466866">
      <w:pPr>
        <w:spacing w:after="0" w:line="276" w:lineRule="auto"/>
      </w:pPr>
      <w:r w:rsidRPr="000B0639">
        <w:t xml:space="preserve">In RAN#86 plenary meeting </w:t>
      </w:r>
      <w:sdt>
        <w:sdtPr>
          <w:id w:val="-400371275"/>
          <w:citation/>
        </w:sdtPr>
        <w:sdtEndPr/>
        <w:sdtContent>
          <w:r w:rsidR="002F69C5" w:rsidRPr="000B0639">
            <w:fldChar w:fldCharType="begin"/>
          </w:r>
          <w:r w:rsidR="002F69C5" w:rsidRPr="000B0639">
            <w:instrText xml:space="preserve"> CITATION Plenary \l 1033 </w:instrText>
          </w:r>
          <w:r w:rsidR="002F69C5" w:rsidRPr="000B0639">
            <w:fldChar w:fldCharType="separate"/>
          </w:r>
          <w:r w:rsidR="00802B82">
            <w:rPr>
              <w:noProof/>
            </w:rPr>
            <w:t>[1]</w:t>
          </w:r>
          <w:r w:rsidR="002F69C5" w:rsidRPr="000B0639">
            <w:fldChar w:fldCharType="end"/>
          </w:r>
        </w:sdtContent>
      </w:sdt>
      <w:r w:rsidRPr="000B0639">
        <w:t xml:space="preserve">, it was agreed that the MIMO work item includes the following objective </w:t>
      </w:r>
    </w:p>
    <w:p w14:paraId="22D8725D" w14:textId="77777777" w:rsidR="009F0399" w:rsidRPr="000B0639" w:rsidRDefault="001A3DD0" w:rsidP="00466866">
      <w:pPr>
        <w:spacing w:line="276" w:lineRule="auto"/>
        <w:rPr>
          <w:i/>
          <w:iCs/>
        </w:rPr>
      </w:pPr>
      <w:r w:rsidRPr="000B0639">
        <w:rPr>
          <w:rFonts w:eastAsiaTheme="minorEastAsia"/>
          <w:i/>
          <w:iCs/>
        </w:rPr>
        <w:t>“</w:t>
      </w:r>
      <w:r w:rsidR="009F0399" w:rsidRPr="000B0639">
        <w:rPr>
          <w:i/>
          <w:iCs/>
        </w:rPr>
        <w:t>Enhancement to support HST-SFN deployment scenario:</w:t>
      </w:r>
    </w:p>
    <w:p w14:paraId="64A80C5C" w14:textId="66C1F381" w:rsidR="009F0399" w:rsidRPr="000B0639" w:rsidRDefault="009F0399" w:rsidP="00466866">
      <w:pPr>
        <w:pStyle w:val="ListParagraph"/>
        <w:numPr>
          <w:ilvl w:val="0"/>
          <w:numId w:val="13"/>
        </w:numPr>
        <w:spacing w:after="0" w:line="276" w:lineRule="auto"/>
        <w:rPr>
          <w:i/>
          <w:iCs/>
        </w:rPr>
      </w:pPr>
      <w:r w:rsidRPr="000B0639">
        <w:rPr>
          <w:i/>
          <w:iCs/>
        </w:rPr>
        <w:t>Identify and specify solution(s) on QCL assumption for DMRS, e.g. multiple QCL assumptions for the same DMRS port(s), targeting DL-only transmission</w:t>
      </w:r>
    </w:p>
    <w:p w14:paraId="06CEF558" w14:textId="562D34A4" w:rsidR="001A3DD0" w:rsidRPr="000B0639" w:rsidRDefault="009F0399" w:rsidP="00466866">
      <w:pPr>
        <w:pStyle w:val="ListParagraph"/>
        <w:numPr>
          <w:ilvl w:val="0"/>
          <w:numId w:val="13"/>
        </w:numPr>
        <w:spacing w:after="0" w:line="276" w:lineRule="auto"/>
        <w:rPr>
          <w:rFonts w:eastAsiaTheme="minorEastAsia"/>
          <w:i/>
          <w:iCs/>
        </w:rPr>
      </w:pPr>
      <w:r w:rsidRPr="000B0639">
        <w:rPr>
          <w:i/>
          <w:iCs/>
        </w:rPr>
        <w:t>Evaluate and, if the benefit over Rel.16 HST enhancement baseline is demonstrated, specify QCL/QCL-like relation (including applicable type(s) and the associated requirement) between DL and UL signal by reusing the unified TCI framework</w:t>
      </w:r>
      <w:r w:rsidR="001A3DD0" w:rsidRPr="000B0639">
        <w:rPr>
          <w:rFonts w:eastAsiaTheme="minorEastAsia"/>
          <w:i/>
          <w:iCs/>
        </w:rPr>
        <w:t>”</w:t>
      </w:r>
    </w:p>
    <w:p w14:paraId="7FF0B98A" w14:textId="5A357E74" w:rsidR="00D51923" w:rsidRDefault="00D51923" w:rsidP="00A53260">
      <w:pPr>
        <w:spacing w:line="276" w:lineRule="auto"/>
        <w:rPr>
          <w:rFonts w:eastAsiaTheme="minorEastAsia"/>
        </w:rPr>
      </w:pPr>
      <w:r w:rsidRPr="000B0639">
        <w:rPr>
          <w:rFonts w:eastAsiaTheme="minorEastAsia"/>
        </w:rPr>
        <w:t>High speed rail is expanding in Europe and Asia alongside their number of passengers with smart devices. Multiple deployment scenarios were addressed in RAN4 discussions for UEs with varying speeds</w:t>
      </w:r>
      <w:r w:rsidR="00274E82">
        <w:rPr>
          <w:rFonts w:eastAsiaTheme="minorEastAsia"/>
        </w:rPr>
        <w:t xml:space="preserve"> </w:t>
      </w:r>
      <w:sdt>
        <w:sdtPr>
          <w:rPr>
            <w:rFonts w:eastAsiaTheme="minorEastAsia"/>
          </w:rPr>
          <w:id w:val="105091278"/>
          <w:citation/>
        </w:sdtPr>
        <w:sdtEndPr/>
        <w:sdtContent>
          <w:r w:rsidR="00274E82">
            <w:rPr>
              <w:rFonts w:eastAsiaTheme="minorEastAsia"/>
            </w:rPr>
            <w:fldChar w:fldCharType="begin"/>
          </w:r>
          <w:r w:rsidR="00274E82">
            <w:rPr>
              <w:rFonts w:eastAsiaTheme="minorEastAsia"/>
            </w:rPr>
            <w:instrText xml:space="preserve"> CITATION TS36101 \l 1033 </w:instrText>
          </w:r>
          <w:r w:rsidR="00274E82">
            <w:rPr>
              <w:rFonts w:eastAsiaTheme="minorEastAsia"/>
            </w:rPr>
            <w:fldChar w:fldCharType="separate"/>
          </w:r>
          <w:r w:rsidR="00802B82" w:rsidRPr="00802B82">
            <w:rPr>
              <w:rFonts w:eastAsiaTheme="minorEastAsia"/>
              <w:noProof/>
            </w:rPr>
            <w:t>[2]</w:t>
          </w:r>
          <w:r w:rsidR="00274E82">
            <w:rPr>
              <w:rFonts w:eastAsiaTheme="minorEastAsia"/>
            </w:rPr>
            <w:fldChar w:fldCharType="end"/>
          </w:r>
        </w:sdtContent>
      </w:sdt>
      <w:r w:rsidR="00274E82">
        <w:rPr>
          <w:rFonts w:eastAsiaTheme="minorEastAsia"/>
        </w:rPr>
        <w:t>,</w:t>
      </w:r>
      <w:sdt>
        <w:sdtPr>
          <w:rPr>
            <w:rFonts w:eastAsiaTheme="minorEastAsia"/>
          </w:rPr>
          <w:id w:val="-696932427"/>
          <w:citation/>
        </w:sdtPr>
        <w:sdtEndPr/>
        <w:sdtContent>
          <w:r w:rsidR="00274E82">
            <w:rPr>
              <w:rFonts w:eastAsiaTheme="minorEastAsia"/>
            </w:rPr>
            <w:fldChar w:fldCharType="begin"/>
          </w:r>
          <w:r w:rsidR="00274E82">
            <w:rPr>
              <w:rFonts w:eastAsiaTheme="minorEastAsia"/>
            </w:rPr>
            <w:instrText xml:space="preserve"> CITATION TS38101 \l 1033 </w:instrText>
          </w:r>
          <w:r w:rsidR="00274E82">
            <w:rPr>
              <w:rFonts w:eastAsiaTheme="minorEastAsia"/>
            </w:rPr>
            <w:fldChar w:fldCharType="separate"/>
          </w:r>
          <w:r w:rsidR="00802B82">
            <w:rPr>
              <w:rFonts w:eastAsiaTheme="minorEastAsia"/>
              <w:noProof/>
            </w:rPr>
            <w:t xml:space="preserve"> </w:t>
          </w:r>
          <w:r w:rsidR="00802B82" w:rsidRPr="00802B82">
            <w:rPr>
              <w:rFonts w:eastAsiaTheme="minorEastAsia"/>
              <w:noProof/>
            </w:rPr>
            <w:t>[3]</w:t>
          </w:r>
          <w:r w:rsidR="00274E82">
            <w:rPr>
              <w:rFonts w:eastAsiaTheme="minorEastAsia"/>
            </w:rPr>
            <w:fldChar w:fldCharType="end"/>
          </w:r>
        </w:sdtContent>
      </w:sdt>
      <w:r w:rsidRPr="000B0639">
        <w:rPr>
          <w:rFonts w:eastAsiaTheme="minorEastAsia"/>
        </w:rPr>
        <w:t xml:space="preserve">. Due to the very high speed of newly deployed trains (up to 500 km/h), supporting such UEs with SFN deployment </w:t>
      </w:r>
      <w:r w:rsidR="00274E82">
        <w:rPr>
          <w:rFonts w:eastAsiaTheme="minorEastAsia"/>
        </w:rPr>
        <w:t>is</w:t>
      </w:r>
      <w:r w:rsidRPr="000B0639">
        <w:rPr>
          <w:rFonts w:eastAsiaTheme="minorEastAsia"/>
        </w:rPr>
        <w:t xml:space="preserve"> convenient </w:t>
      </w:r>
      <w:r w:rsidR="00274E82">
        <w:rPr>
          <w:rFonts w:eastAsiaTheme="minorEastAsia"/>
        </w:rPr>
        <w:t>to</w:t>
      </w:r>
      <w:r w:rsidRPr="000B0639">
        <w:rPr>
          <w:rFonts w:eastAsiaTheme="minorEastAsia"/>
        </w:rPr>
        <w:t xml:space="preserve"> avoid handover issues. The layout of such scenario was also discussed in RAN4</w:t>
      </w:r>
      <w:r w:rsidR="00274E82">
        <w:rPr>
          <w:rFonts w:eastAsiaTheme="minorEastAsia"/>
        </w:rPr>
        <w:t xml:space="preserve"> </w:t>
      </w:r>
      <w:sdt>
        <w:sdtPr>
          <w:rPr>
            <w:rFonts w:eastAsiaTheme="minorEastAsia"/>
          </w:rPr>
          <w:id w:val="1047875500"/>
          <w:citation/>
        </w:sdtPr>
        <w:sdtEndPr/>
        <w:sdtContent>
          <w:r w:rsidR="00274E82">
            <w:rPr>
              <w:rFonts w:eastAsiaTheme="minorEastAsia"/>
            </w:rPr>
            <w:fldChar w:fldCharType="begin"/>
          </w:r>
          <w:r w:rsidR="00274E82">
            <w:rPr>
              <w:rFonts w:eastAsiaTheme="minorEastAsia"/>
            </w:rPr>
            <w:instrText xml:space="preserve"> CITATION TS36101 \l 1033 </w:instrText>
          </w:r>
          <w:r w:rsidR="00274E82">
            <w:rPr>
              <w:rFonts w:eastAsiaTheme="minorEastAsia"/>
            </w:rPr>
            <w:fldChar w:fldCharType="separate"/>
          </w:r>
          <w:r w:rsidR="00802B82" w:rsidRPr="00802B82">
            <w:rPr>
              <w:rFonts w:eastAsiaTheme="minorEastAsia"/>
              <w:noProof/>
            </w:rPr>
            <w:t>[2]</w:t>
          </w:r>
          <w:r w:rsidR="00274E82">
            <w:rPr>
              <w:rFonts w:eastAsiaTheme="minorEastAsia"/>
            </w:rPr>
            <w:fldChar w:fldCharType="end"/>
          </w:r>
        </w:sdtContent>
      </w:sdt>
      <w:r w:rsidRPr="000B0639">
        <w:rPr>
          <w:rFonts w:eastAsiaTheme="minorEastAsia"/>
        </w:rPr>
        <w:t xml:space="preserve">, where the UEs are served via a series of RRHs along the railway, as shown in </w:t>
      </w:r>
      <w:r w:rsidRPr="000B0639">
        <w:rPr>
          <w:rFonts w:eastAsiaTheme="minorEastAsia"/>
        </w:rPr>
        <w:fldChar w:fldCharType="begin"/>
      </w:r>
      <w:r w:rsidRPr="000B0639">
        <w:rPr>
          <w:rFonts w:eastAsiaTheme="minorEastAsia"/>
        </w:rPr>
        <w:instrText xml:space="preserve"> REF _Ref47537823 \h </w:instrText>
      </w:r>
      <w:r w:rsidR="00466866" w:rsidRPr="000B0639">
        <w:rPr>
          <w:rFonts w:eastAsiaTheme="minorEastAsia"/>
        </w:rPr>
        <w:instrText xml:space="preserve"> \* MERGEFORMAT </w:instrText>
      </w:r>
      <w:r w:rsidRPr="000B0639">
        <w:rPr>
          <w:rFonts w:eastAsiaTheme="minorEastAsia"/>
        </w:rPr>
      </w:r>
      <w:r w:rsidRPr="000B0639">
        <w:rPr>
          <w:rFonts w:eastAsiaTheme="minorEastAsia"/>
        </w:rPr>
        <w:fldChar w:fldCharType="separate"/>
      </w:r>
      <w:r w:rsidRPr="000B0639">
        <w:t xml:space="preserve">Figure </w:t>
      </w:r>
      <w:r w:rsidRPr="000B0639">
        <w:rPr>
          <w:noProof/>
        </w:rPr>
        <w:t>1</w:t>
      </w:r>
      <w:r w:rsidRPr="000B0639">
        <w:rPr>
          <w:rFonts w:eastAsiaTheme="minorEastAsia"/>
        </w:rPr>
        <w:fldChar w:fldCharType="end"/>
      </w:r>
      <w:r w:rsidR="00B82F15">
        <w:rPr>
          <w:rFonts w:eastAsiaTheme="minorEastAsia"/>
        </w:rPr>
        <w:t xml:space="preserve">. We denote by </w:t>
      </w:r>
      <w:proofErr w:type="spellStart"/>
      <w:r w:rsidR="00B82F15" w:rsidRPr="000B0639">
        <w:rPr>
          <w:rFonts w:eastAsiaTheme="minorEastAsia"/>
          <w:i/>
          <w:iCs/>
        </w:rPr>
        <w:t>D</w:t>
      </w:r>
      <w:r w:rsidR="00B82F15" w:rsidRPr="000B0639">
        <w:rPr>
          <w:rFonts w:eastAsiaTheme="minorEastAsia"/>
          <w:i/>
          <w:iCs/>
          <w:vertAlign w:val="subscript"/>
        </w:rPr>
        <w:t>min</w:t>
      </w:r>
      <w:proofErr w:type="spellEnd"/>
      <w:r w:rsidR="00B82F15">
        <w:rPr>
          <w:rFonts w:eastAsiaTheme="minorEastAsia"/>
        </w:rPr>
        <w:t xml:space="preserve"> and </w:t>
      </w:r>
      <w:r w:rsidR="00B82F15" w:rsidRPr="00B61FD4">
        <w:rPr>
          <w:rFonts w:eastAsiaTheme="minorEastAsia"/>
          <w:i/>
          <w:iCs/>
        </w:rPr>
        <w:t>D</w:t>
      </w:r>
      <w:r w:rsidR="00B82F15" w:rsidRPr="00B61FD4">
        <w:rPr>
          <w:rFonts w:eastAsiaTheme="minorEastAsia"/>
          <w:i/>
          <w:iCs/>
          <w:vertAlign w:val="subscript"/>
        </w:rPr>
        <w:t>s</w:t>
      </w:r>
      <w:r w:rsidR="00B82F15">
        <w:rPr>
          <w:rFonts w:eastAsiaTheme="minorEastAsia"/>
        </w:rPr>
        <w:t xml:space="preserve"> </w:t>
      </w:r>
      <w:r w:rsidR="00B82F15" w:rsidRPr="000B0639">
        <w:rPr>
          <w:rFonts w:eastAsiaTheme="minorEastAsia"/>
        </w:rPr>
        <w:t xml:space="preserve">the distance between </w:t>
      </w:r>
      <w:r w:rsidR="00B82F15">
        <w:rPr>
          <w:rFonts w:eastAsiaTheme="minorEastAsia"/>
        </w:rPr>
        <w:t>each</w:t>
      </w:r>
      <w:r w:rsidR="00B82F15" w:rsidRPr="000B0639">
        <w:rPr>
          <w:rFonts w:eastAsiaTheme="minorEastAsia"/>
        </w:rPr>
        <w:t xml:space="preserve"> RRH and the railway</w:t>
      </w:r>
      <w:r w:rsidR="00B82F15">
        <w:rPr>
          <w:rFonts w:eastAsiaTheme="minorEastAsia"/>
        </w:rPr>
        <w:t xml:space="preserve">, and the inter-RRH distance, respectively. </w:t>
      </w:r>
      <w:r w:rsidR="00B82F15" w:rsidRPr="000B0639">
        <w:rPr>
          <w:rFonts w:eastAsiaTheme="minorEastAsia"/>
        </w:rPr>
        <w:t xml:space="preserve">Note that the multiple RRHs located along the railway may share the same cell ID and are connected to a centralized unit. When the transmission from the </w:t>
      </w:r>
      <w:r w:rsidR="00B82F15">
        <w:rPr>
          <w:rFonts w:eastAsiaTheme="minorEastAsia"/>
        </w:rPr>
        <w:t>RRH</w:t>
      </w:r>
      <w:r w:rsidR="00B82F15" w:rsidRPr="000B0639">
        <w:rPr>
          <w:rFonts w:eastAsiaTheme="minorEastAsia"/>
        </w:rPr>
        <w:t xml:space="preserve">s within a cell are synchronized, SFN deployment can enlarge the cell coverage, reduce the frequency of handovers, and achieve transmission diversity and power gain. </w:t>
      </w:r>
    </w:p>
    <w:p w14:paraId="4724ECA7" w14:textId="77777777" w:rsidR="00A53260" w:rsidRPr="000B0639" w:rsidRDefault="00A53260" w:rsidP="00B140BD">
      <w:pPr>
        <w:spacing w:line="276" w:lineRule="auto"/>
        <w:rPr>
          <w:rFonts w:eastAsiaTheme="minorEastAsia"/>
        </w:rPr>
      </w:pPr>
    </w:p>
    <w:p w14:paraId="266D5245" w14:textId="77777777" w:rsidR="00D51923" w:rsidRPr="000B0639" w:rsidRDefault="00D51923" w:rsidP="00D51923">
      <w:pPr>
        <w:spacing w:after="0" w:line="360" w:lineRule="auto"/>
        <w:rPr>
          <w:rFonts w:eastAsiaTheme="minorEastAsia"/>
        </w:rPr>
      </w:pPr>
    </w:p>
    <w:p w14:paraId="72EA8A26" w14:textId="69C5DB82" w:rsidR="00D51923" w:rsidRPr="000B0639" w:rsidRDefault="000A7484" w:rsidP="00D51923">
      <w:pPr>
        <w:spacing w:after="0" w:line="360" w:lineRule="auto"/>
        <w:jc w:val="center"/>
      </w:pPr>
      <w:r w:rsidRPr="000A7484">
        <w:pict w14:anchorId="27F47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5.15pt;height:106.45pt">
            <v:imagedata r:id="rId7" o:title=""/>
          </v:shape>
        </w:pict>
      </w:r>
    </w:p>
    <w:p w14:paraId="44D4DEBF" w14:textId="2B53EC8B" w:rsidR="00D51923" w:rsidRPr="000B0639" w:rsidRDefault="00D51923" w:rsidP="00D51923">
      <w:pPr>
        <w:pStyle w:val="Caption"/>
        <w:rPr>
          <w:rFonts w:eastAsiaTheme="minorEastAsia"/>
        </w:rPr>
      </w:pPr>
      <w:bookmarkStart w:id="0" w:name="_Ref47537823"/>
      <w:r w:rsidRPr="000B0639">
        <w:t xml:space="preserve">Figure </w:t>
      </w:r>
      <w:r w:rsidR="00FF3050">
        <w:fldChar w:fldCharType="begin"/>
      </w:r>
      <w:r w:rsidR="00FF3050">
        <w:instrText xml:space="preserve"> SEQ Figure \* ARABIC </w:instrText>
      </w:r>
      <w:r w:rsidR="00FF3050">
        <w:fldChar w:fldCharType="separate"/>
      </w:r>
      <w:r w:rsidR="009179B6">
        <w:rPr>
          <w:noProof/>
        </w:rPr>
        <w:t>1</w:t>
      </w:r>
      <w:r w:rsidR="00FF3050">
        <w:rPr>
          <w:noProof/>
        </w:rPr>
        <w:fldChar w:fldCharType="end"/>
      </w:r>
      <w:bookmarkEnd w:id="0"/>
      <w:r w:rsidR="00CA4132">
        <w:t>.</w:t>
      </w:r>
      <w:r w:rsidRPr="000B0639">
        <w:t xml:space="preserve"> HST deployment with a series of RRHs along the railway</w:t>
      </w:r>
      <w:r w:rsidR="00DE018B">
        <w:t>.</w:t>
      </w:r>
    </w:p>
    <w:p w14:paraId="0820B282" w14:textId="4AF9F9A2" w:rsidR="00D51923" w:rsidRPr="000B0639" w:rsidRDefault="00D51923" w:rsidP="00D51923">
      <w:pPr>
        <w:spacing w:after="0" w:line="360" w:lineRule="auto"/>
        <w:rPr>
          <w:rFonts w:eastAsiaTheme="minorEastAsia"/>
        </w:rPr>
      </w:pPr>
      <w:r w:rsidRPr="000B0639">
        <w:rPr>
          <w:rFonts w:eastAsiaTheme="minorEastAsia"/>
        </w:rPr>
        <w:t xml:space="preserve">   </w:t>
      </w:r>
    </w:p>
    <w:p w14:paraId="55A7744B" w14:textId="01B739BB" w:rsidR="00CA4132" w:rsidRDefault="00CA4132" w:rsidP="005C6CFA">
      <w:pPr>
        <w:spacing w:line="276" w:lineRule="auto"/>
        <w:rPr>
          <w:rFonts w:eastAsiaTheme="minorEastAsia"/>
        </w:rPr>
      </w:pPr>
    </w:p>
    <w:p w14:paraId="733CD792" w14:textId="14C5D359" w:rsidR="00CA4132" w:rsidRDefault="00274E82" w:rsidP="007B31B3">
      <w:pPr>
        <w:keepNext/>
        <w:spacing w:line="276" w:lineRule="auto"/>
        <w:rPr>
          <w:bCs/>
          <w:iCs/>
        </w:rPr>
      </w:pPr>
      <w:r>
        <w:rPr>
          <w:bCs/>
          <w:iCs/>
        </w:rPr>
        <w:lastRenderedPageBreak/>
        <w:fldChar w:fldCharType="begin"/>
      </w:r>
      <w:r>
        <w:rPr>
          <w:bCs/>
          <w:iCs/>
        </w:rPr>
        <w:instrText xml:space="preserve"> REF _Ref47653171 \h  \* MERGEFORMAT </w:instrText>
      </w:r>
      <w:r>
        <w:rPr>
          <w:bCs/>
          <w:iCs/>
        </w:rPr>
      </w:r>
      <w:r>
        <w:rPr>
          <w:bCs/>
          <w:iCs/>
        </w:rPr>
        <w:fldChar w:fldCharType="separate"/>
      </w:r>
      <w:r w:rsidRPr="004A5FC7">
        <w:rPr>
          <w:bCs/>
        </w:rPr>
        <w:t>Figure</w:t>
      </w:r>
      <w:r w:rsidRPr="00B140BD">
        <w:rPr>
          <w:b/>
        </w:rPr>
        <w:t xml:space="preserve"> </w:t>
      </w:r>
      <w:r w:rsidRPr="004A5FC7">
        <w:rPr>
          <w:bCs/>
          <w:noProof/>
        </w:rPr>
        <w:t>2</w:t>
      </w:r>
      <w:r>
        <w:rPr>
          <w:bCs/>
          <w:iCs/>
        </w:rPr>
        <w:fldChar w:fldCharType="end"/>
      </w:r>
      <w:r>
        <w:rPr>
          <w:bCs/>
          <w:iCs/>
        </w:rPr>
        <w:t xml:space="preserve"> plots the Doppler effect in</w:t>
      </w:r>
      <w:r w:rsidR="00CA4132">
        <w:rPr>
          <w:bCs/>
          <w:iCs/>
        </w:rPr>
        <w:t xml:space="preserve"> FR1 </w:t>
      </w:r>
      <w:r>
        <w:rPr>
          <w:bCs/>
          <w:iCs/>
        </w:rPr>
        <w:t xml:space="preserve">observed by a UE moving between 3 RRHs at the speed of 500 km/h at 2GHz, </w:t>
      </w:r>
      <w:r w:rsidR="00CA4132">
        <w:rPr>
          <w:bCs/>
          <w:iCs/>
        </w:rPr>
        <w:t xml:space="preserve">where </w:t>
      </w:r>
      <w:r>
        <w:rPr>
          <w:bCs/>
          <w:iCs/>
        </w:rPr>
        <w:t xml:space="preserve">the </w:t>
      </w:r>
      <w:r w:rsidR="00CA4132">
        <w:rPr>
          <w:bCs/>
          <w:iCs/>
        </w:rPr>
        <w:t>RRHs are deployed with bi-directional antennas with (</w:t>
      </w:r>
      <w:proofErr w:type="spellStart"/>
      <w:r w:rsidR="00CA4132" w:rsidRPr="00B61FD4">
        <w:rPr>
          <w:bCs/>
          <w:i/>
        </w:rPr>
        <w:t>D</w:t>
      </w:r>
      <w:r w:rsidR="00CA4132" w:rsidRPr="00B61FD4">
        <w:rPr>
          <w:bCs/>
          <w:i/>
          <w:vertAlign w:val="subscript"/>
        </w:rPr>
        <w:t>s</w:t>
      </w:r>
      <w:r w:rsidR="00CA4132">
        <w:rPr>
          <w:bCs/>
          <w:iCs/>
        </w:rPr>
        <w:t>,</w:t>
      </w:r>
      <w:r w:rsidR="00CA4132" w:rsidRPr="00B61FD4">
        <w:rPr>
          <w:bCs/>
          <w:i/>
        </w:rPr>
        <w:t>D</w:t>
      </w:r>
      <w:r w:rsidR="00CA4132" w:rsidRPr="00B61FD4">
        <w:rPr>
          <w:bCs/>
          <w:i/>
          <w:vertAlign w:val="subscript"/>
        </w:rPr>
        <w:t>min</w:t>
      </w:r>
      <w:proofErr w:type="spellEnd"/>
      <w:r w:rsidR="00CA4132">
        <w:rPr>
          <w:bCs/>
          <w:iCs/>
        </w:rPr>
        <w:t>) = (700 m., 150 m.</w:t>
      </w:r>
      <w:r>
        <w:rPr>
          <w:bCs/>
          <w:iCs/>
        </w:rPr>
        <w:t>)</w:t>
      </w:r>
      <w:r w:rsidR="00CA4132">
        <w:rPr>
          <w:bCs/>
          <w:iCs/>
        </w:rPr>
        <w:t xml:space="preserve">. </w:t>
      </w:r>
      <w:r w:rsidR="00DE018B">
        <w:rPr>
          <w:bCs/>
          <w:iCs/>
        </w:rPr>
        <w:t>T</w:t>
      </w:r>
      <w:r w:rsidR="00CA4132">
        <w:rPr>
          <w:bCs/>
          <w:iCs/>
        </w:rPr>
        <w:t>he spread of the Doppler between adjacent RRHs</w:t>
      </w:r>
      <w:r w:rsidR="00DE018B">
        <w:rPr>
          <w:bCs/>
          <w:iCs/>
        </w:rPr>
        <w:t xml:space="preserve"> is also shown</w:t>
      </w:r>
      <w:r w:rsidR="00CA4132">
        <w:rPr>
          <w:bCs/>
          <w:iCs/>
        </w:rPr>
        <w:t xml:space="preserve">. When the RRHs communicate with the UE in SFN mode, the Doppler spread (the largest frequency offset between different paths received by the UE) reaches 1.7 kHz when the UE is at midpoint between two adjacent RRHs. </w:t>
      </w:r>
    </w:p>
    <w:p w14:paraId="0026F640" w14:textId="77777777" w:rsidR="00CA4132" w:rsidRDefault="00CA4132" w:rsidP="00CA4132">
      <w:pPr>
        <w:keepNext/>
        <w:jc w:val="center"/>
      </w:pPr>
      <w:r>
        <w:rPr>
          <w:bCs/>
          <w:iCs/>
          <w:noProof/>
        </w:rPr>
        <w:drawing>
          <wp:inline distT="0" distB="0" distL="0" distR="0" wp14:anchorId="05CEBCAA" wp14:editId="67287290">
            <wp:extent cx="3741420" cy="2705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1420" cy="2705100"/>
                    </a:xfrm>
                    <a:prstGeom prst="rect">
                      <a:avLst/>
                    </a:prstGeom>
                    <a:noFill/>
                    <a:ln>
                      <a:noFill/>
                    </a:ln>
                  </pic:spPr>
                </pic:pic>
              </a:graphicData>
            </a:graphic>
          </wp:inline>
        </w:drawing>
      </w:r>
    </w:p>
    <w:p w14:paraId="352B251B" w14:textId="45988A76" w:rsidR="009179B6" w:rsidRPr="00B140BD" w:rsidRDefault="009179B6" w:rsidP="009179B6">
      <w:pPr>
        <w:pStyle w:val="Caption"/>
        <w:rPr>
          <w:b w:val="0"/>
          <w:bCs w:val="0"/>
        </w:rPr>
      </w:pPr>
      <w:bookmarkStart w:id="1" w:name="_Ref47653171"/>
      <w:r w:rsidRPr="00B140BD">
        <w:rPr>
          <w:b w:val="0"/>
          <w:bCs w:val="0"/>
        </w:rPr>
        <w:t xml:space="preserve">Figure </w:t>
      </w:r>
      <w:r w:rsidRPr="00B140BD">
        <w:rPr>
          <w:b w:val="0"/>
          <w:bCs w:val="0"/>
        </w:rPr>
        <w:fldChar w:fldCharType="begin"/>
      </w:r>
      <w:r w:rsidRPr="00B140BD">
        <w:rPr>
          <w:b w:val="0"/>
          <w:bCs w:val="0"/>
        </w:rPr>
        <w:instrText xml:space="preserve"> SEQ Figure \* ARABIC </w:instrText>
      </w:r>
      <w:r w:rsidRPr="00B140BD">
        <w:rPr>
          <w:b w:val="0"/>
          <w:bCs w:val="0"/>
        </w:rPr>
        <w:fldChar w:fldCharType="separate"/>
      </w:r>
      <w:r w:rsidRPr="00B140BD">
        <w:rPr>
          <w:b w:val="0"/>
          <w:bCs w:val="0"/>
          <w:noProof/>
        </w:rPr>
        <w:t>2</w:t>
      </w:r>
      <w:r w:rsidRPr="00B140BD">
        <w:rPr>
          <w:b w:val="0"/>
          <w:bCs w:val="0"/>
        </w:rPr>
        <w:fldChar w:fldCharType="end"/>
      </w:r>
      <w:bookmarkEnd w:id="1"/>
      <w:r w:rsidRPr="00B140BD">
        <w:rPr>
          <w:b w:val="0"/>
          <w:bCs w:val="0"/>
        </w:rPr>
        <w:t xml:space="preserve">. Doppler shift and Doppler spread observed by a UE from 3 RRHs (Placed at 0, 700, 1400 m.) at </w:t>
      </w:r>
      <w:r w:rsidR="00DE018B">
        <w:rPr>
          <w:b w:val="0"/>
          <w:bCs w:val="0"/>
        </w:rPr>
        <w:t xml:space="preserve">500km/h, </w:t>
      </w:r>
      <w:r w:rsidRPr="00B140BD">
        <w:rPr>
          <w:b w:val="0"/>
          <w:bCs w:val="0"/>
        </w:rPr>
        <w:t>2</w:t>
      </w:r>
      <w:r w:rsidR="00274E82">
        <w:rPr>
          <w:b w:val="0"/>
          <w:bCs w:val="0"/>
        </w:rPr>
        <w:t xml:space="preserve"> </w:t>
      </w:r>
      <w:r w:rsidRPr="00B140BD">
        <w:rPr>
          <w:b w:val="0"/>
          <w:bCs w:val="0"/>
        </w:rPr>
        <w:t>GHz</w:t>
      </w:r>
      <w:r w:rsidR="00DE018B">
        <w:rPr>
          <w:b w:val="0"/>
          <w:bCs w:val="0"/>
        </w:rPr>
        <w:t xml:space="preserve"> carrier frequency with </w:t>
      </w:r>
      <w:proofErr w:type="spellStart"/>
      <w:r w:rsidR="00DE018B" w:rsidRPr="00B140BD">
        <w:rPr>
          <w:b w:val="0"/>
          <w:bCs w:val="0"/>
          <w:i/>
        </w:rPr>
        <w:t>D</w:t>
      </w:r>
      <w:r w:rsidR="00DE018B" w:rsidRPr="00B140BD">
        <w:rPr>
          <w:b w:val="0"/>
          <w:bCs w:val="0"/>
          <w:i/>
          <w:vertAlign w:val="subscript"/>
        </w:rPr>
        <w:t>min</w:t>
      </w:r>
      <w:proofErr w:type="spellEnd"/>
      <w:r w:rsidR="00DE018B" w:rsidRPr="00B140BD">
        <w:rPr>
          <w:b w:val="0"/>
          <w:bCs w:val="0"/>
          <w:iCs/>
        </w:rPr>
        <w:t xml:space="preserve"> = </w:t>
      </w:r>
      <w:r w:rsidR="00DE018B">
        <w:rPr>
          <w:b w:val="0"/>
          <w:bCs w:val="0"/>
          <w:iCs/>
        </w:rPr>
        <w:t>1</w:t>
      </w:r>
      <w:r w:rsidR="00DE018B" w:rsidRPr="00B140BD">
        <w:rPr>
          <w:b w:val="0"/>
          <w:bCs w:val="0"/>
          <w:iCs/>
        </w:rPr>
        <w:t>50 m</w:t>
      </w:r>
      <w:r w:rsidR="00DE018B">
        <w:rPr>
          <w:b w:val="0"/>
          <w:bCs w:val="0"/>
        </w:rPr>
        <w:t>.</w:t>
      </w:r>
    </w:p>
    <w:p w14:paraId="2EEE282D" w14:textId="5F243462" w:rsidR="00CA4132" w:rsidRPr="009179B6" w:rsidRDefault="00CA4132" w:rsidP="007B31B3">
      <w:pPr>
        <w:pStyle w:val="Caption"/>
        <w:spacing w:line="276" w:lineRule="auto"/>
        <w:jc w:val="left"/>
      </w:pPr>
      <w:r w:rsidRPr="009179B6">
        <w:rPr>
          <w:b w:val="0"/>
          <w:bCs w:val="0"/>
        </w:rPr>
        <w:t xml:space="preserve">Similarly, </w:t>
      </w:r>
      <w:r w:rsidR="00A53260">
        <w:rPr>
          <w:b w:val="0"/>
          <w:bCs w:val="0"/>
        </w:rPr>
        <w:fldChar w:fldCharType="begin"/>
      </w:r>
      <w:r w:rsidR="00A53260">
        <w:rPr>
          <w:b w:val="0"/>
          <w:bCs w:val="0"/>
        </w:rPr>
        <w:instrText xml:space="preserve"> REF _Ref47177942 \h </w:instrText>
      </w:r>
      <w:r w:rsidR="007B31B3">
        <w:rPr>
          <w:b w:val="0"/>
          <w:bCs w:val="0"/>
        </w:rPr>
        <w:instrText xml:space="preserve"> \* MERGEFORMAT </w:instrText>
      </w:r>
      <w:r w:rsidR="00A53260">
        <w:rPr>
          <w:b w:val="0"/>
          <w:bCs w:val="0"/>
        </w:rPr>
      </w:r>
      <w:r w:rsidR="00A53260">
        <w:rPr>
          <w:b w:val="0"/>
          <w:bCs w:val="0"/>
        </w:rPr>
        <w:fldChar w:fldCharType="separate"/>
      </w:r>
      <w:r w:rsidR="00A53260" w:rsidRPr="00B61FD4">
        <w:rPr>
          <w:b w:val="0"/>
          <w:bCs w:val="0"/>
        </w:rPr>
        <w:t xml:space="preserve">Figure </w:t>
      </w:r>
      <w:r w:rsidR="00A53260">
        <w:rPr>
          <w:b w:val="0"/>
          <w:bCs w:val="0"/>
          <w:noProof/>
        </w:rPr>
        <w:t>3</w:t>
      </w:r>
      <w:r w:rsidR="00A53260">
        <w:rPr>
          <w:b w:val="0"/>
          <w:bCs w:val="0"/>
        </w:rPr>
        <w:fldChar w:fldCharType="end"/>
      </w:r>
      <w:r w:rsidR="00A53260">
        <w:rPr>
          <w:b w:val="0"/>
          <w:bCs w:val="0"/>
        </w:rPr>
        <w:t xml:space="preserve"> shows </w:t>
      </w:r>
      <w:r w:rsidRPr="009179B6">
        <w:rPr>
          <w:b w:val="0"/>
          <w:bCs w:val="0"/>
        </w:rPr>
        <w:t xml:space="preserve">the Doppler shift for a UE </w:t>
      </w:r>
      <w:r w:rsidR="00DE018B">
        <w:rPr>
          <w:b w:val="0"/>
          <w:bCs w:val="0"/>
        </w:rPr>
        <w:t xml:space="preserve">speed of 500 km/h </w:t>
      </w:r>
      <w:r w:rsidRPr="009179B6">
        <w:rPr>
          <w:b w:val="0"/>
          <w:bCs w:val="0"/>
        </w:rPr>
        <w:t xml:space="preserve">at FR2 </w:t>
      </w:r>
      <w:r w:rsidR="00DE018B">
        <w:rPr>
          <w:b w:val="0"/>
          <w:bCs w:val="0"/>
        </w:rPr>
        <w:t>(</w:t>
      </w:r>
      <w:r w:rsidR="00DE018B">
        <w:rPr>
          <w:b w:val="0"/>
          <w:bCs w:val="0"/>
          <w:iCs/>
        </w:rPr>
        <w:t>30</w:t>
      </w:r>
      <w:r w:rsidR="00274E82">
        <w:rPr>
          <w:b w:val="0"/>
          <w:bCs w:val="0"/>
          <w:iCs/>
        </w:rPr>
        <w:t xml:space="preserve"> </w:t>
      </w:r>
      <w:r w:rsidR="00DE018B" w:rsidRPr="00B140BD">
        <w:rPr>
          <w:b w:val="0"/>
          <w:bCs w:val="0"/>
          <w:iCs/>
        </w:rPr>
        <w:t>GHz)</w:t>
      </w:r>
      <w:r w:rsidR="00274E82">
        <w:rPr>
          <w:b w:val="0"/>
          <w:bCs w:val="0"/>
          <w:iCs/>
        </w:rPr>
        <w:t>,</w:t>
      </w:r>
      <w:r w:rsidRPr="009179B6">
        <w:rPr>
          <w:b w:val="0"/>
          <w:bCs w:val="0"/>
        </w:rPr>
        <w:t xml:space="preserve"> with </w:t>
      </w:r>
      <w:r w:rsidRPr="00B140BD">
        <w:rPr>
          <w:b w:val="0"/>
          <w:bCs w:val="0"/>
          <w:iCs/>
        </w:rPr>
        <w:t>(</w:t>
      </w:r>
      <w:proofErr w:type="spellStart"/>
      <w:r w:rsidRPr="00B140BD">
        <w:rPr>
          <w:b w:val="0"/>
          <w:bCs w:val="0"/>
          <w:i/>
        </w:rPr>
        <w:t>D</w:t>
      </w:r>
      <w:r w:rsidRPr="00B140BD">
        <w:rPr>
          <w:b w:val="0"/>
          <w:bCs w:val="0"/>
          <w:i/>
          <w:vertAlign w:val="subscript"/>
        </w:rPr>
        <w:t>s</w:t>
      </w:r>
      <w:r w:rsidRPr="00B140BD">
        <w:rPr>
          <w:b w:val="0"/>
          <w:bCs w:val="0"/>
          <w:iCs/>
        </w:rPr>
        <w:t>,</w:t>
      </w:r>
      <w:r w:rsidRPr="00B140BD">
        <w:rPr>
          <w:b w:val="0"/>
          <w:bCs w:val="0"/>
          <w:i/>
        </w:rPr>
        <w:t>D</w:t>
      </w:r>
      <w:r w:rsidRPr="00B140BD">
        <w:rPr>
          <w:b w:val="0"/>
          <w:bCs w:val="0"/>
          <w:i/>
          <w:vertAlign w:val="subscript"/>
        </w:rPr>
        <w:t>min</w:t>
      </w:r>
      <w:proofErr w:type="spellEnd"/>
      <w:r w:rsidRPr="00B140BD">
        <w:rPr>
          <w:b w:val="0"/>
          <w:bCs w:val="0"/>
          <w:iCs/>
        </w:rPr>
        <w:t>) = (400 m., 20 m.).</w:t>
      </w:r>
      <w:r w:rsidRPr="009179B6">
        <w:rPr>
          <w:b w:val="0"/>
          <w:bCs w:val="0"/>
        </w:rPr>
        <w:t xml:space="preserve"> The Doppler spread reaches 27.6 kHz when the UE is </w:t>
      </w:r>
      <w:r w:rsidRPr="00B140BD">
        <w:rPr>
          <w:b w:val="0"/>
          <w:bCs w:val="0"/>
          <w:iCs/>
        </w:rPr>
        <w:t>at midpoint between two adjacent RRHs</w:t>
      </w:r>
      <w:r w:rsidRPr="009179B6">
        <w:rPr>
          <w:b w:val="0"/>
          <w:bCs w:val="0"/>
        </w:rPr>
        <w:t xml:space="preserve">. </w:t>
      </w:r>
    </w:p>
    <w:p w14:paraId="018800DF" w14:textId="77777777" w:rsidR="00CA4132" w:rsidRDefault="00CA4132" w:rsidP="00CA4132">
      <w:pPr>
        <w:keepNext/>
        <w:jc w:val="center"/>
      </w:pPr>
      <w:r>
        <w:rPr>
          <w:noProof/>
        </w:rPr>
        <w:drawing>
          <wp:inline distT="0" distB="0" distL="0" distR="0" wp14:anchorId="15BFEFFB" wp14:editId="7F6638B6">
            <wp:extent cx="3947160" cy="2849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47160" cy="2849880"/>
                    </a:xfrm>
                    <a:prstGeom prst="rect">
                      <a:avLst/>
                    </a:prstGeom>
                    <a:noFill/>
                    <a:ln>
                      <a:noFill/>
                    </a:ln>
                  </pic:spPr>
                </pic:pic>
              </a:graphicData>
            </a:graphic>
          </wp:inline>
        </w:drawing>
      </w:r>
    </w:p>
    <w:p w14:paraId="5996192B" w14:textId="0AFA7649" w:rsidR="00CA4132" w:rsidRPr="00B61FD4" w:rsidRDefault="00CA4132" w:rsidP="00CA4132">
      <w:pPr>
        <w:pStyle w:val="Caption"/>
        <w:rPr>
          <w:b w:val="0"/>
          <w:bCs w:val="0"/>
        </w:rPr>
      </w:pPr>
      <w:bookmarkStart w:id="2" w:name="_Ref47177942"/>
      <w:r w:rsidRPr="00B61FD4">
        <w:rPr>
          <w:b w:val="0"/>
          <w:bCs w:val="0"/>
        </w:rPr>
        <w:t xml:space="preserve">Figure </w:t>
      </w:r>
      <w:r w:rsidRPr="00B61FD4">
        <w:rPr>
          <w:b w:val="0"/>
          <w:bCs w:val="0"/>
        </w:rPr>
        <w:fldChar w:fldCharType="begin"/>
      </w:r>
      <w:r w:rsidRPr="00B61FD4">
        <w:rPr>
          <w:b w:val="0"/>
          <w:bCs w:val="0"/>
        </w:rPr>
        <w:instrText xml:space="preserve"> SEQ Figure \* ARABIC </w:instrText>
      </w:r>
      <w:r w:rsidRPr="00B61FD4">
        <w:rPr>
          <w:b w:val="0"/>
          <w:bCs w:val="0"/>
        </w:rPr>
        <w:fldChar w:fldCharType="separate"/>
      </w:r>
      <w:r w:rsidR="009179B6">
        <w:rPr>
          <w:b w:val="0"/>
          <w:bCs w:val="0"/>
          <w:noProof/>
        </w:rPr>
        <w:t>3</w:t>
      </w:r>
      <w:r w:rsidRPr="00B61FD4">
        <w:rPr>
          <w:b w:val="0"/>
          <w:bCs w:val="0"/>
          <w:noProof/>
        </w:rPr>
        <w:fldChar w:fldCharType="end"/>
      </w:r>
      <w:bookmarkEnd w:id="2"/>
      <w:r w:rsidRPr="00B61FD4">
        <w:rPr>
          <w:b w:val="0"/>
          <w:bCs w:val="0"/>
        </w:rPr>
        <w:t>. Doppler shift and Doppler spread</w:t>
      </w:r>
      <w:r>
        <w:rPr>
          <w:b w:val="0"/>
          <w:bCs w:val="0"/>
        </w:rPr>
        <w:t xml:space="preserve"> observed by a UE from</w:t>
      </w:r>
      <w:r w:rsidRPr="00B61FD4">
        <w:rPr>
          <w:b w:val="0"/>
          <w:bCs w:val="0"/>
        </w:rPr>
        <w:t xml:space="preserve"> </w:t>
      </w:r>
      <w:r>
        <w:rPr>
          <w:b w:val="0"/>
          <w:bCs w:val="0"/>
        </w:rPr>
        <w:t>3</w:t>
      </w:r>
      <w:r w:rsidRPr="00B61FD4">
        <w:rPr>
          <w:b w:val="0"/>
          <w:bCs w:val="0"/>
        </w:rPr>
        <w:t xml:space="preserve"> </w:t>
      </w:r>
      <w:r>
        <w:rPr>
          <w:b w:val="0"/>
          <w:bCs w:val="0"/>
        </w:rPr>
        <w:t xml:space="preserve">RRHs (Placed at 0, 400, 800 m.) </w:t>
      </w:r>
      <w:r w:rsidRPr="00B61FD4">
        <w:rPr>
          <w:b w:val="0"/>
          <w:bCs w:val="0"/>
        </w:rPr>
        <w:t xml:space="preserve">at </w:t>
      </w:r>
      <w:r w:rsidR="00DE018B">
        <w:rPr>
          <w:b w:val="0"/>
          <w:bCs w:val="0"/>
        </w:rPr>
        <w:t xml:space="preserve">50 km/h, </w:t>
      </w:r>
      <w:r w:rsidRPr="00B61FD4">
        <w:rPr>
          <w:b w:val="0"/>
          <w:bCs w:val="0"/>
        </w:rPr>
        <w:t>30</w:t>
      </w:r>
      <w:r w:rsidR="00274E82">
        <w:rPr>
          <w:b w:val="0"/>
          <w:bCs w:val="0"/>
        </w:rPr>
        <w:t xml:space="preserve"> </w:t>
      </w:r>
      <w:r w:rsidRPr="00B61FD4">
        <w:rPr>
          <w:b w:val="0"/>
          <w:bCs w:val="0"/>
        </w:rPr>
        <w:t>GHz</w:t>
      </w:r>
      <w:r w:rsidR="00DE018B">
        <w:rPr>
          <w:b w:val="0"/>
          <w:bCs w:val="0"/>
        </w:rPr>
        <w:t xml:space="preserve"> carrier frequency with </w:t>
      </w:r>
      <w:proofErr w:type="spellStart"/>
      <w:r w:rsidR="00DE018B" w:rsidRPr="00C569D1">
        <w:rPr>
          <w:b w:val="0"/>
          <w:bCs w:val="0"/>
          <w:i/>
        </w:rPr>
        <w:t>D</w:t>
      </w:r>
      <w:r w:rsidR="00DE018B" w:rsidRPr="00C569D1">
        <w:rPr>
          <w:b w:val="0"/>
          <w:bCs w:val="0"/>
          <w:i/>
          <w:vertAlign w:val="subscript"/>
        </w:rPr>
        <w:t>min</w:t>
      </w:r>
      <w:proofErr w:type="spellEnd"/>
      <w:r w:rsidR="00DE018B" w:rsidRPr="00C569D1">
        <w:rPr>
          <w:b w:val="0"/>
          <w:bCs w:val="0"/>
          <w:iCs/>
        </w:rPr>
        <w:t xml:space="preserve"> = </w:t>
      </w:r>
      <w:r w:rsidR="00DE018B">
        <w:rPr>
          <w:b w:val="0"/>
          <w:bCs w:val="0"/>
          <w:iCs/>
        </w:rPr>
        <w:t>2</w:t>
      </w:r>
      <w:r w:rsidR="00DE018B" w:rsidRPr="00C569D1">
        <w:rPr>
          <w:b w:val="0"/>
          <w:bCs w:val="0"/>
          <w:iCs/>
        </w:rPr>
        <w:t>0 m</w:t>
      </w:r>
      <w:r w:rsidR="00DE018B">
        <w:rPr>
          <w:b w:val="0"/>
          <w:bCs w:val="0"/>
          <w:iCs/>
        </w:rPr>
        <w:t>.</w:t>
      </w:r>
    </w:p>
    <w:p w14:paraId="6E505C43" w14:textId="77777777" w:rsidR="00CA4132" w:rsidRDefault="00CA4132" w:rsidP="00CA4132">
      <w:pPr>
        <w:pStyle w:val="Caption"/>
        <w:keepNext/>
      </w:pPr>
    </w:p>
    <w:tbl>
      <w:tblPr>
        <w:tblStyle w:val="TableGrid"/>
        <w:tblW w:w="0" w:type="auto"/>
        <w:jc w:val="center"/>
        <w:tblLook w:val="04A0" w:firstRow="1" w:lastRow="0" w:firstColumn="1" w:lastColumn="0" w:noHBand="0" w:noVBand="1"/>
      </w:tblPr>
      <w:tblGrid>
        <w:gridCol w:w="990"/>
        <w:gridCol w:w="845"/>
        <w:gridCol w:w="1580"/>
        <w:gridCol w:w="1980"/>
        <w:gridCol w:w="2025"/>
      </w:tblGrid>
      <w:tr w:rsidR="00CA4132" w14:paraId="2DE40EE4" w14:textId="77777777" w:rsidTr="00B61FD4">
        <w:trPr>
          <w:jc w:val="center"/>
        </w:trPr>
        <w:tc>
          <w:tcPr>
            <w:tcW w:w="1835" w:type="dxa"/>
            <w:gridSpan w:val="2"/>
          </w:tcPr>
          <w:p w14:paraId="1BF0733F" w14:textId="77777777" w:rsidR="00CA4132" w:rsidRDefault="00CA4132" w:rsidP="00B61FD4"/>
        </w:tc>
        <w:tc>
          <w:tcPr>
            <w:tcW w:w="1580" w:type="dxa"/>
          </w:tcPr>
          <w:p w14:paraId="728209EE" w14:textId="2F79499F" w:rsidR="00CA4132" w:rsidRDefault="00CA4132" w:rsidP="00B61FD4">
            <w:r w:rsidRPr="00B140BD">
              <w:rPr>
                <w:i/>
                <w:iCs/>
              </w:rPr>
              <w:t>D</w:t>
            </w:r>
            <w:r w:rsidRPr="00B140BD">
              <w:rPr>
                <w:i/>
                <w:iCs/>
                <w:vertAlign w:val="subscript"/>
              </w:rPr>
              <w:t>s</w:t>
            </w:r>
            <w:r>
              <w:t xml:space="preserve">, </w:t>
            </w:r>
            <w:proofErr w:type="spellStart"/>
            <w:r w:rsidRPr="00B140BD">
              <w:rPr>
                <w:i/>
                <w:iCs/>
              </w:rPr>
              <w:t>D</w:t>
            </w:r>
            <w:r w:rsidRPr="00B140BD">
              <w:rPr>
                <w:i/>
                <w:iCs/>
                <w:vertAlign w:val="subscript"/>
              </w:rPr>
              <w:t>min</w:t>
            </w:r>
            <w:proofErr w:type="spellEnd"/>
            <w:r>
              <w:t xml:space="preserve"> (m</w:t>
            </w:r>
            <w:r w:rsidR="009179B6">
              <w:t>.</w:t>
            </w:r>
            <w:r>
              <w:t>)</w:t>
            </w:r>
          </w:p>
        </w:tc>
        <w:tc>
          <w:tcPr>
            <w:tcW w:w="1980" w:type="dxa"/>
          </w:tcPr>
          <w:p w14:paraId="01C3EBB2" w14:textId="77777777" w:rsidR="00CA4132" w:rsidRDefault="00CA4132" w:rsidP="00B61FD4">
            <w:pPr>
              <w:jc w:val="center"/>
            </w:pPr>
            <w:r>
              <w:t>Doppler Shift (kHz)</w:t>
            </w:r>
          </w:p>
        </w:tc>
        <w:tc>
          <w:tcPr>
            <w:tcW w:w="2025" w:type="dxa"/>
          </w:tcPr>
          <w:p w14:paraId="5435C56F" w14:textId="77777777" w:rsidR="00CA4132" w:rsidRDefault="00CA4132" w:rsidP="00B61FD4">
            <w:pPr>
              <w:jc w:val="center"/>
            </w:pPr>
            <w:r>
              <w:t>Doppler Spread (kHz)</w:t>
            </w:r>
          </w:p>
        </w:tc>
      </w:tr>
      <w:tr w:rsidR="00CA4132" w14:paraId="63C54604" w14:textId="77777777" w:rsidTr="00B61FD4">
        <w:trPr>
          <w:jc w:val="center"/>
        </w:trPr>
        <w:tc>
          <w:tcPr>
            <w:tcW w:w="1835" w:type="dxa"/>
            <w:gridSpan w:val="2"/>
          </w:tcPr>
          <w:p w14:paraId="211C09F6" w14:textId="5B0A2E07" w:rsidR="00CA4132" w:rsidRDefault="00CA4132" w:rsidP="00B61FD4">
            <w:pPr>
              <w:jc w:val="center"/>
            </w:pPr>
            <w:r>
              <w:t>FR1 (2</w:t>
            </w:r>
            <w:r w:rsidR="009179B6">
              <w:t xml:space="preserve"> </w:t>
            </w:r>
            <w:r>
              <w:t>GHz)</w:t>
            </w:r>
          </w:p>
        </w:tc>
        <w:tc>
          <w:tcPr>
            <w:tcW w:w="1580" w:type="dxa"/>
          </w:tcPr>
          <w:p w14:paraId="4BB6E0A2" w14:textId="77777777" w:rsidR="00CA4132" w:rsidRDefault="00CA4132" w:rsidP="00B61FD4">
            <w:pPr>
              <w:jc w:val="center"/>
            </w:pPr>
            <w:r>
              <w:t>(700, 150)</w:t>
            </w:r>
          </w:p>
        </w:tc>
        <w:tc>
          <w:tcPr>
            <w:tcW w:w="1980" w:type="dxa"/>
          </w:tcPr>
          <w:p w14:paraId="41D47E85" w14:textId="77777777" w:rsidR="00CA4132" w:rsidRDefault="00CA4132" w:rsidP="00B61FD4">
            <w:pPr>
              <w:jc w:val="center"/>
            </w:pPr>
            <w:r>
              <w:t>0.92</w:t>
            </w:r>
          </w:p>
        </w:tc>
        <w:tc>
          <w:tcPr>
            <w:tcW w:w="2025" w:type="dxa"/>
          </w:tcPr>
          <w:p w14:paraId="10067BBA" w14:textId="77777777" w:rsidR="00CA4132" w:rsidRDefault="00CA4132" w:rsidP="00B61FD4">
            <w:pPr>
              <w:jc w:val="center"/>
            </w:pPr>
            <w:r>
              <w:t>1.70</w:t>
            </w:r>
          </w:p>
        </w:tc>
      </w:tr>
      <w:tr w:rsidR="00CA4132" w14:paraId="0B48039B" w14:textId="77777777" w:rsidTr="00B61FD4">
        <w:trPr>
          <w:jc w:val="center"/>
        </w:trPr>
        <w:tc>
          <w:tcPr>
            <w:tcW w:w="990" w:type="dxa"/>
            <w:vMerge w:val="restart"/>
          </w:tcPr>
          <w:p w14:paraId="7910E03D" w14:textId="77777777" w:rsidR="009179B6" w:rsidRDefault="009179B6" w:rsidP="009179B6">
            <w:pPr>
              <w:jc w:val="center"/>
            </w:pPr>
          </w:p>
          <w:p w14:paraId="7614A1F7" w14:textId="10968249" w:rsidR="009179B6" w:rsidRDefault="00CA4132" w:rsidP="009179B6">
            <w:pPr>
              <w:jc w:val="center"/>
            </w:pPr>
            <w:r>
              <w:t xml:space="preserve">FR2 </w:t>
            </w:r>
          </w:p>
          <w:p w14:paraId="221BF12E" w14:textId="60068B23" w:rsidR="00CA4132" w:rsidRDefault="00CA4132" w:rsidP="00B140BD">
            <w:pPr>
              <w:jc w:val="center"/>
            </w:pPr>
            <w:r>
              <w:t>(30</w:t>
            </w:r>
            <w:r w:rsidR="009179B6">
              <w:t xml:space="preserve"> </w:t>
            </w:r>
            <w:r>
              <w:t>GHz)</w:t>
            </w:r>
          </w:p>
        </w:tc>
        <w:tc>
          <w:tcPr>
            <w:tcW w:w="845" w:type="dxa"/>
          </w:tcPr>
          <w:p w14:paraId="25003081" w14:textId="77777777" w:rsidR="00CA4132" w:rsidRDefault="00CA4132" w:rsidP="00B61FD4">
            <w:r>
              <w:t>Alt 1</w:t>
            </w:r>
          </w:p>
        </w:tc>
        <w:tc>
          <w:tcPr>
            <w:tcW w:w="1580" w:type="dxa"/>
          </w:tcPr>
          <w:p w14:paraId="13518096" w14:textId="77777777" w:rsidR="00CA4132" w:rsidRDefault="00CA4132" w:rsidP="00B61FD4">
            <w:pPr>
              <w:jc w:val="center"/>
            </w:pPr>
            <w:r>
              <w:t>(700,150)</w:t>
            </w:r>
          </w:p>
        </w:tc>
        <w:tc>
          <w:tcPr>
            <w:tcW w:w="1980" w:type="dxa"/>
          </w:tcPr>
          <w:p w14:paraId="38BEA50D" w14:textId="77777777" w:rsidR="00CA4132" w:rsidRDefault="00CA4132" w:rsidP="00B61FD4">
            <w:pPr>
              <w:jc w:val="center"/>
            </w:pPr>
            <w:r>
              <w:t>13.81</w:t>
            </w:r>
          </w:p>
        </w:tc>
        <w:tc>
          <w:tcPr>
            <w:tcW w:w="2025" w:type="dxa"/>
          </w:tcPr>
          <w:p w14:paraId="04CEC429" w14:textId="77777777" w:rsidR="00CA4132" w:rsidRDefault="00CA4132" w:rsidP="00B61FD4">
            <w:pPr>
              <w:jc w:val="center"/>
            </w:pPr>
            <w:r>
              <w:t>25.5</w:t>
            </w:r>
          </w:p>
        </w:tc>
      </w:tr>
      <w:tr w:rsidR="00CA4132" w14:paraId="30CE5B45" w14:textId="77777777" w:rsidTr="00B61FD4">
        <w:trPr>
          <w:jc w:val="center"/>
        </w:trPr>
        <w:tc>
          <w:tcPr>
            <w:tcW w:w="990" w:type="dxa"/>
            <w:vMerge/>
          </w:tcPr>
          <w:p w14:paraId="64BF1950" w14:textId="77777777" w:rsidR="00CA4132" w:rsidRDefault="00CA4132" w:rsidP="00B61FD4"/>
        </w:tc>
        <w:tc>
          <w:tcPr>
            <w:tcW w:w="845" w:type="dxa"/>
          </w:tcPr>
          <w:p w14:paraId="123B0142" w14:textId="77777777" w:rsidR="00CA4132" w:rsidRDefault="00CA4132" w:rsidP="00B61FD4">
            <w:r>
              <w:t>Alt 2</w:t>
            </w:r>
          </w:p>
        </w:tc>
        <w:tc>
          <w:tcPr>
            <w:tcW w:w="1580" w:type="dxa"/>
          </w:tcPr>
          <w:p w14:paraId="7CAC09BB" w14:textId="77777777" w:rsidR="00CA4132" w:rsidRDefault="00CA4132" w:rsidP="00B61FD4">
            <w:pPr>
              <w:jc w:val="center"/>
            </w:pPr>
            <w:r>
              <w:t>(400, 20)</w:t>
            </w:r>
          </w:p>
        </w:tc>
        <w:tc>
          <w:tcPr>
            <w:tcW w:w="1980" w:type="dxa"/>
          </w:tcPr>
          <w:p w14:paraId="6EFE3315" w14:textId="77777777" w:rsidR="00CA4132" w:rsidRDefault="00CA4132" w:rsidP="00B61FD4">
            <w:pPr>
              <w:jc w:val="center"/>
            </w:pPr>
            <w:r>
              <w:t>13.88</w:t>
            </w:r>
          </w:p>
        </w:tc>
        <w:tc>
          <w:tcPr>
            <w:tcW w:w="2025" w:type="dxa"/>
          </w:tcPr>
          <w:p w14:paraId="28FA990D" w14:textId="77777777" w:rsidR="00CA4132" w:rsidRDefault="00CA4132" w:rsidP="00B61FD4">
            <w:pPr>
              <w:jc w:val="center"/>
            </w:pPr>
            <w:r>
              <w:t>27.6</w:t>
            </w:r>
          </w:p>
        </w:tc>
      </w:tr>
      <w:tr w:rsidR="00CA4132" w14:paraId="1DD33C6E" w14:textId="77777777" w:rsidTr="00B61FD4">
        <w:trPr>
          <w:jc w:val="center"/>
        </w:trPr>
        <w:tc>
          <w:tcPr>
            <w:tcW w:w="990" w:type="dxa"/>
            <w:vMerge/>
          </w:tcPr>
          <w:p w14:paraId="77902DD8" w14:textId="77777777" w:rsidR="00CA4132" w:rsidRDefault="00CA4132" w:rsidP="00B61FD4"/>
        </w:tc>
        <w:tc>
          <w:tcPr>
            <w:tcW w:w="845" w:type="dxa"/>
          </w:tcPr>
          <w:p w14:paraId="713BB81E" w14:textId="77777777" w:rsidR="00CA4132" w:rsidRDefault="00CA4132" w:rsidP="00B61FD4">
            <w:r>
              <w:t>Alt 3</w:t>
            </w:r>
          </w:p>
        </w:tc>
        <w:tc>
          <w:tcPr>
            <w:tcW w:w="1580" w:type="dxa"/>
          </w:tcPr>
          <w:p w14:paraId="1B135275" w14:textId="77777777" w:rsidR="00CA4132" w:rsidRDefault="00CA4132" w:rsidP="00B61FD4">
            <w:pPr>
              <w:jc w:val="center"/>
            </w:pPr>
            <w:r>
              <w:t>(200,30)</w:t>
            </w:r>
          </w:p>
        </w:tc>
        <w:tc>
          <w:tcPr>
            <w:tcW w:w="1980" w:type="dxa"/>
          </w:tcPr>
          <w:p w14:paraId="4F4F1A36" w14:textId="77777777" w:rsidR="00CA4132" w:rsidRDefault="00CA4132" w:rsidP="00B61FD4">
            <w:pPr>
              <w:jc w:val="center"/>
            </w:pPr>
            <w:r>
              <w:t>13.85</w:t>
            </w:r>
          </w:p>
        </w:tc>
        <w:tc>
          <w:tcPr>
            <w:tcW w:w="2025" w:type="dxa"/>
          </w:tcPr>
          <w:p w14:paraId="28AD5CF0" w14:textId="77777777" w:rsidR="00CA4132" w:rsidRDefault="00CA4132" w:rsidP="00B61FD4">
            <w:pPr>
              <w:jc w:val="center"/>
            </w:pPr>
            <w:r>
              <w:t>26.6</w:t>
            </w:r>
          </w:p>
        </w:tc>
      </w:tr>
      <w:tr w:rsidR="00CA4132" w14:paraId="27098C91" w14:textId="77777777" w:rsidTr="00B61FD4">
        <w:trPr>
          <w:jc w:val="center"/>
        </w:trPr>
        <w:tc>
          <w:tcPr>
            <w:tcW w:w="990" w:type="dxa"/>
            <w:vMerge/>
          </w:tcPr>
          <w:p w14:paraId="4BC20840" w14:textId="77777777" w:rsidR="00CA4132" w:rsidRDefault="00CA4132" w:rsidP="00B61FD4"/>
        </w:tc>
        <w:tc>
          <w:tcPr>
            <w:tcW w:w="845" w:type="dxa"/>
          </w:tcPr>
          <w:p w14:paraId="6DC3533E" w14:textId="77777777" w:rsidR="00CA4132" w:rsidRDefault="00CA4132" w:rsidP="00B61FD4">
            <w:r>
              <w:t>Alt 4</w:t>
            </w:r>
          </w:p>
        </w:tc>
        <w:tc>
          <w:tcPr>
            <w:tcW w:w="1580" w:type="dxa"/>
          </w:tcPr>
          <w:p w14:paraId="795D631D" w14:textId="77777777" w:rsidR="00CA4132" w:rsidRDefault="00CA4132" w:rsidP="00B61FD4">
            <w:pPr>
              <w:jc w:val="center"/>
            </w:pPr>
            <w:r>
              <w:t>(580,5)</w:t>
            </w:r>
          </w:p>
        </w:tc>
        <w:tc>
          <w:tcPr>
            <w:tcW w:w="1980" w:type="dxa"/>
          </w:tcPr>
          <w:p w14:paraId="0EB03777" w14:textId="77777777" w:rsidR="00CA4132" w:rsidRDefault="00CA4132" w:rsidP="00B61FD4">
            <w:pPr>
              <w:jc w:val="center"/>
            </w:pPr>
            <w:r>
              <w:t>13.89</w:t>
            </w:r>
          </w:p>
        </w:tc>
        <w:tc>
          <w:tcPr>
            <w:tcW w:w="2025" w:type="dxa"/>
          </w:tcPr>
          <w:p w14:paraId="194C8150" w14:textId="77777777" w:rsidR="00CA4132" w:rsidRDefault="00CA4132" w:rsidP="00B61FD4">
            <w:pPr>
              <w:jc w:val="center"/>
            </w:pPr>
            <w:r>
              <w:t>27.8</w:t>
            </w:r>
          </w:p>
        </w:tc>
      </w:tr>
    </w:tbl>
    <w:p w14:paraId="34625A7D" w14:textId="0804B6B3" w:rsidR="00CA4132" w:rsidRDefault="00CA4132" w:rsidP="00CA4132">
      <w:pPr>
        <w:jc w:val="center"/>
      </w:pPr>
      <w:bookmarkStart w:id="3" w:name="_Ref47237173"/>
      <w:r>
        <w:t xml:space="preserve">Table </w:t>
      </w:r>
      <w:r w:rsidR="00FF3050">
        <w:fldChar w:fldCharType="begin"/>
      </w:r>
      <w:r w:rsidR="00FF3050">
        <w:instrText xml:space="preserve"> SEQ Table \* ARABIC </w:instrText>
      </w:r>
      <w:r w:rsidR="00FF3050">
        <w:fldChar w:fldCharType="separate"/>
      </w:r>
      <w:r>
        <w:rPr>
          <w:noProof/>
        </w:rPr>
        <w:t>1</w:t>
      </w:r>
      <w:r w:rsidR="00FF3050">
        <w:rPr>
          <w:noProof/>
        </w:rPr>
        <w:fldChar w:fldCharType="end"/>
      </w:r>
      <w:bookmarkEnd w:id="3"/>
      <w:r>
        <w:t>. The maximum Doppler shift and Doppler spread for different deployment scenarios at 500</w:t>
      </w:r>
      <w:r w:rsidR="00274E82">
        <w:t xml:space="preserve"> </w:t>
      </w:r>
      <w:r>
        <w:t>km/h.</w:t>
      </w:r>
    </w:p>
    <w:p w14:paraId="73BD2823" w14:textId="62831993" w:rsidR="00CA4132" w:rsidRPr="000B0639" w:rsidRDefault="00CA4132" w:rsidP="00CA4132">
      <w:pPr>
        <w:spacing w:line="276" w:lineRule="auto"/>
        <w:rPr>
          <w:rFonts w:eastAsiaTheme="minorEastAsia"/>
        </w:rPr>
      </w:pPr>
      <w:r>
        <w:t xml:space="preserve">In </w:t>
      </w:r>
      <w:r>
        <w:fldChar w:fldCharType="begin"/>
      </w:r>
      <w:r>
        <w:instrText xml:space="preserve"> REF _Ref47237173 \h </w:instrText>
      </w:r>
      <w:r>
        <w:fldChar w:fldCharType="separate"/>
      </w:r>
      <w:r>
        <w:t xml:space="preserve">Table </w:t>
      </w:r>
      <w:r>
        <w:rPr>
          <w:noProof/>
        </w:rPr>
        <w:t>1</w:t>
      </w:r>
      <w:r>
        <w:fldChar w:fldCharType="end"/>
      </w:r>
      <w:r>
        <w:t xml:space="preserve"> we compute the maximal Doppler shift and Doppler spread for different frequency ranges and deployment scenarios. For FR1</w:t>
      </w:r>
      <w:r w:rsidR="00A53260">
        <w:t xml:space="preserve"> (2</w:t>
      </w:r>
      <w:r w:rsidR="00274E82">
        <w:t xml:space="preserve"> </w:t>
      </w:r>
      <w:r w:rsidR="00A53260">
        <w:t>GHz)</w:t>
      </w:r>
      <w:r>
        <w:t>, the maximal Doppler shift and Doppler spread reach 0.92</w:t>
      </w:r>
      <w:r w:rsidR="00274E82">
        <w:t xml:space="preserve"> </w:t>
      </w:r>
      <w:r>
        <w:t>kHz and 1.70</w:t>
      </w:r>
      <w:r w:rsidR="00274E82">
        <w:t xml:space="preserve"> </w:t>
      </w:r>
      <w:r>
        <w:t>kHz respectively, which is equivalent to 3.1% and 1.7% of the subcarrier spacing of 30 kHz. For FR2, the difference between different deployment alternatives is minimal, however we consider the worst case (Alt 4) as an example, with maximal Doppler shift and Doppler spread reaching 13.89 kHz and 27.8 kHz respectively, which is equivalent to 11.6% and 23.2% of the subcarrier spacing of 120 kHz. This shows the difficulty facing a UE in estimating the time varying channel with large Doppler values.</w:t>
      </w:r>
    </w:p>
    <w:p w14:paraId="04E62175" w14:textId="162401A7" w:rsidR="00466866" w:rsidRPr="000B0639" w:rsidRDefault="00620B6D" w:rsidP="008F276C">
      <w:pPr>
        <w:spacing w:after="0" w:line="276" w:lineRule="auto"/>
        <w:rPr>
          <w:rFonts w:eastAsiaTheme="minorEastAsia"/>
        </w:rPr>
      </w:pPr>
      <w:bookmarkStart w:id="4" w:name="_Hlk47547440"/>
      <w:r>
        <w:rPr>
          <w:rFonts w:eastAsiaTheme="minorEastAsia"/>
        </w:rPr>
        <w:t>A</w:t>
      </w:r>
      <w:r w:rsidR="008C4ED2">
        <w:rPr>
          <w:rFonts w:eastAsiaTheme="minorEastAsia"/>
        </w:rPr>
        <w:t xml:space="preserve"> simple explanation that</w:t>
      </w:r>
      <w:r>
        <w:rPr>
          <w:rFonts w:eastAsiaTheme="minorEastAsia"/>
        </w:rPr>
        <w:t xml:space="preserve"> emphasizes the severity of the problem is as follows. When the UE is located between two RRHs with comparable receive</w:t>
      </w:r>
      <w:r w:rsidR="00B1605D">
        <w:rPr>
          <w:rFonts w:eastAsiaTheme="minorEastAsia"/>
        </w:rPr>
        <w:t>d</w:t>
      </w:r>
      <w:r>
        <w:rPr>
          <w:rFonts w:eastAsiaTheme="minorEastAsia"/>
        </w:rPr>
        <w:t xml:space="preserve"> power</w:t>
      </w:r>
      <w:r w:rsidR="00B1605D">
        <w:rPr>
          <w:rFonts w:eastAsiaTheme="minorEastAsia"/>
        </w:rPr>
        <w:t>s</w:t>
      </w:r>
      <w:r>
        <w:rPr>
          <w:rFonts w:eastAsiaTheme="minorEastAsia"/>
        </w:rPr>
        <w:t xml:space="preserve">, it needs to track the carrier frequency offset to estimate the channel, however two </w:t>
      </w:r>
      <w:r w:rsidR="008C4ED2">
        <w:rPr>
          <w:rFonts w:eastAsiaTheme="minorEastAsia"/>
        </w:rPr>
        <w:t xml:space="preserve">Doppler shifts </w:t>
      </w:r>
      <w:r>
        <w:rPr>
          <w:rFonts w:eastAsiaTheme="minorEastAsia"/>
        </w:rPr>
        <w:t xml:space="preserve">are incurred </w:t>
      </w:r>
      <w:r w:rsidR="008C4ED2">
        <w:rPr>
          <w:rFonts w:eastAsiaTheme="minorEastAsia"/>
        </w:rPr>
        <w:t>with two opposite signs (±0.85 kHz at 2 GHz with 500 km/h)</w:t>
      </w:r>
      <w:r w:rsidR="006D115E" w:rsidRPr="000B0639">
        <w:rPr>
          <w:rFonts w:eastAsiaTheme="minorEastAsia"/>
        </w:rPr>
        <w:t xml:space="preserve">, leading to </w:t>
      </w:r>
      <w:r w:rsidR="00FF09C1" w:rsidRPr="000B0639">
        <w:rPr>
          <w:rFonts w:eastAsiaTheme="minorEastAsia"/>
        </w:rPr>
        <w:t xml:space="preserve">channel estimation issues </w:t>
      </w:r>
      <w:r w:rsidR="00E46D17">
        <w:rPr>
          <w:rFonts w:eastAsiaTheme="minorEastAsia"/>
        </w:rPr>
        <w:t xml:space="preserve">due to difficulty tracking time-varying </w:t>
      </w:r>
      <w:r w:rsidR="00FF09C1" w:rsidRPr="000B0639">
        <w:rPr>
          <w:rFonts w:eastAsiaTheme="minorEastAsia"/>
        </w:rPr>
        <w:t xml:space="preserve">Doppler value via a single TRS. </w:t>
      </w:r>
      <w:bookmarkEnd w:id="4"/>
      <w:r w:rsidR="008C4ED2">
        <w:rPr>
          <w:rFonts w:eastAsiaTheme="minorEastAsia"/>
        </w:rPr>
        <w:t>Note that</w:t>
      </w:r>
      <w:r w:rsidR="00FF09C1" w:rsidRPr="000B0639">
        <w:rPr>
          <w:rFonts w:eastAsiaTheme="minorEastAsia"/>
        </w:rPr>
        <w:t xml:space="preserve"> the higher the train speed</w:t>
      </w:r>
      <w:r w:rsidR="009D43A9">
        <w:rPr>
          <w:rFonts w:eastAsiaTheme="minorEastAsia"/>
        </w:rPr>
        <w:t xml:space="preserve"> or carrier frequency</w:t>
      </w:r>
      <w:r w:rsidR="00FF09C1" w:rsidRPr="000B0639">
        <w:rPr>
          <w:rFonts w:eastAsiaTheme="minorEastAsia"/>
        </w:rPr>
        <w:t>, the higher the performance degradation for a conventional SFN deployment.</w:t>
      </w:r>
    </w:p>
    <w:p w14:paraId="10B36FB7" w14:textId="3147EADF" w:rsidR="000165AC" w:rsidRPr="000B0639" w:rsidRDefault="00FF09C1" w:rsidP="00466866">
      <w:pPr>
        <w:pStyle w:val="Observation"/>
        <w:spacing w:after="0" w:line="276" w:lineRule="auto"/>
        <w:rPr>
          <w:rFonts w:eastAsiaTheme="minorEastAsia"/>
        </w:rPr>
      </w:pPr>
      <w:r w:rsidRPr="000B0639">
        <w:t>Conventional HST SFN deployment may lead to performance degradation at high speeds</w:t>
      </w:r>
      <w:r w:rsidR="008C4ED2">
        <w:t xml:space="preserve"> due to the difficulty of tracking the time-varying channels from multiple RRHs</w:t>
      </w:r>
      <w:r w:rsidRPr="000B0639">
        <w:t xml:space="preserve">. </w:t>
      </w:r>
    </w:p>
    <w:p w14:paraId="0D225713" w14:textId="32C3C3ED" w:rsidR="00FF09C1" w:rsidRPr="000B0639" w:rsidRDefault="008C4ED2" w:rsidP="00FF09C1">
      <w:pPr>
        <w:pStyle w:val="Heading1"/>
        <w:rPr>
          <w:rFonts w:eastAsiaTheme="minorEastAsia"/>
          <w:lang w:val="en-US"/>
        </w:rPr>
      </w:pPr>
      <w:r>
        <w:rPr>
          <w:rFonts w:eastAsiaTheme="minorEastAsia"/>
          <w:lang w:val="en-US"/>
        </w:rPr>
        <w:t>Simulation</w:t>
      </w:r>
      <w:r w:rsidR="00FF09C1" w:rsidRPr="000B0639">
        <w:rPr>
          <w:rFonts w:eastAsiaTheme="minorEastAsia"/>
          <w:lang w:val="en-US"/>
        </w:rPr>
        <w:t xml:space="preserve"> Assumptions</w:t>
      </w:r>
    </w:p>
    <w:p w14:paraId="79731D2F" w14:textId="06AF2A38" w:rsidR="00FF09C1" w:rsidRPr="000B0639" w:rsidRDefault="00FF09C1" w:rsidP="007B31B3">
      <w:pPr>
        <w:keepNext/>
        <w:spacing w:line="276" w:lineRule="auto"/>
      </w:pPr>
      <w:r w:rsidRPr="000B0639">
        <w:t xml:space="preserve">Prior to RAN1#102e meeting, an email discussion has been held to discuss the </w:t>
      </w:r>
      <w:r w:rsidR="008C4ED2">
        <w:t>simulation</w:t>
      </w:r>
      <w:r w:rsidRPr="000B0639">
        <w:t xml:space="preserve"> assumptions for </w:t>
      </w:r>
      <w:r w:rsidR="00BD3AAD" w:rsidRPr="000B0639">
        <w:t>HST-SFN deployment</w:t>
      </w:r>
      <w:r w:rsidRPr="000B0639">
        <w:t>. Although there was consensus on most of the points addressed</w:t>
      </w:r>
      <w:r w:rsidR="00CA4132">
        <w:t xml:space="preserve"> in the email discussion</w:t>
      </w:r>
      <w:r w:rsidRPr="000B0639">
        <w:t>, there were still a few issues on which no consensus was reached, some of which are as follows</w:t>
      </w:r>
    </w:p>
    <w:p w14:paraId="5033977F" w14:textId="157A262A" w:rsidR="00FF09C1" w:rsidRPr="000B0639" w:rsidRDefault="00FF09C1" w:rsidP="00466866">
      <w:pPr>
        <w:spacing w:line="276" w:lineRule="auto"/>
      </w:pPr>
      <w:r w:rsidRPr="000B0639">
        <w:rPr>
          <w:b/>
          <w:bCs/>
        </w:rPr>
        <w:t>Issue 1:</w:t>
      </w:r>
      <w:r w:rsidRPr="000B0639">
        <w:t xml:space="preserve"> </w:t>
      </w:r>
      <w:r w:rsidR="00BD3AAD" w:rsidRPr="000B0639">
        <w:t>Frequency Range</w:t>
      </w:r>
    </w:p>
    <w:p w14:paraId="0EB9A0A7" w14:textId="7E60174A" w:rsidR="00DA3873" w:rsidRPr="000B0639" w:rsidRDefault="00BD3AAD" w:rsidP="00466866">
      <w:pPr>
        <w:spacing w:after="0" w:line="276" w:lineRule="auto"/>
      </w:pPr>
      <w:r w:rsidRPr="000B0639">
        <w:t xml:space="preserve">It was agreed that HST-SFN deployment would be discussed for FR1 and FR2, however no consensus was reached on whether FR1 should be prioritized. </w:t>
      </w:r>
      <w:r w:rsidR="003B5D8F" w:rsidRPr="000B0639">
        <w:t xml:space="preserve">In our opinion, precise performance evaluation for FR2 would require adopting a more advanced channel model that takes </w:t>
      </w:r>
      <w:r w:rsidR="008F276C">
        <w:t xml:space="preserve">blockage and beam tracking considerations </w:t>
      </w:r>
      <w:r w:rsidR="003B5D8F" w:rsidRPr="000B0639">
        <w:t xml:space="preserve">into account. Given the limited time resources and discussion moderation challenges in Rel. 17, we believe it is better to narrow down the scope of the problem to ensure the problem is at least partially solved, rather than dealing with broader problems and </w:t>
      </w:r>
      <w:r w:rsidR="00507E22">
        <w:t xml:space="preserve">risk </w:t>
      </w:r>
      <w:r w:rsidR="003B5D8F" w:rsidRPr="000B0639">
        <w:t xml:space="preserve">not succeed in delivering. It was argued by some companies that both FR1 and FR2 may require different solutions, which in our opinion </w:t>
      </w:r>
      <w:r w:rsidR="00DA3873" w:rsidRPr="000B0639">
        <w:t xml:space="preserve">is a valid reason to focus on FR1 first rather than dealing with </w:t>
      </w:r>
      <w:r w:rsidR="0085612A">
        <w:t xml:space="preserve">two different solutions with </w:t>
      </w:r>
      <w:r w:rsidR="00DA3873" w:rsidRPr="000B0639">
        <w:t xml:space="preserve">double the </w:t>
      </w:r>
      <w:r w:rsidR="0085612A">
        <w:t xml:space="preserve">simulation and discussion </w:t>
      </w:r>
      <w:r w:rsidR="00DA3873" w:rsidRPr="000B0639">
        <w:t>load simultaneously.</w:t>
      </w:r>
    </w:p>
    <w:p w14:paraId="0F386CF9" w14:textId="53CFDB9E" w:rsidR="00DA3873" w:rsidRPr="000B0639" w:rsidRDefault="00DA3873" w:rsidP="00FF09C1">
      <w:pPr>
        <w:spacing w:after="0"/>
      </w:pPr>
    </w:p>
    <w:p w14:paraId="0DF0352F" w14:textId="7481C0AA" w:rsidR="00DA3873" w:rsidRPr="000B0639" w:rsidRDefault="00DA3873" w:rsidP="008F2A09">
      <w:pPr>
        <w:pStyle w:val="Observation"/>
        <w:spacing w:line="276" w:lineRule="auto"/>
        <w:ind w:left="1699" w:hanging="1699"/>
        <w:rPr>
          <w:rFonts w:eastAsiaTheme="minorEastAsia"/>
        </w:rPr>
      </w:pPr>
      <w:r w:rsidRPr="000B0639">
        <w:t>Addressing HST-SFN solutions for FR1 and FR2 simultaneously may be challenging due to the key differences in channel model and potentially different solutions to the problem.</w:t>
      </w:r>
    </w:p>
    <w:p w14:paraId="216B97FE" w14:textId="7D9BD580" w:rsidR="005E4D4F" w:rsidRDefault="005E4D4F" w:rsidP="005E4D4F">
      <w:pPr>
        <w:pStyle w:val="Proposal"/>
        <w:numPr>
          <w:ilvl w:val="0"/>
          <w:numId w:val="14"/>
        </w:numPr>
        <w:tabs>
          <w:tab w:val="clear" w:pos="2024"/>
        </w:tabs>
        <w:ind w:left="1701" w:hanging="1701"/>
        <w:textAlignment w:val="auto"/>
      </w:pPr>
      <w:r w:rsidRPr="000B0639">
        <w:t>Prioritize HST-SFN deployment solutions for FR1</w:t>
      </w:r>
      <w:r>
        <w:t>.</w:t>
      </w:r>
    </w:p>
    <w:p w14:paraId="03B42A53" w14:textId="6C199523" w:rsidR="00FF09C1" w:rsidRDefault="00FF09C1" w:rsidP="00FF09C1">
      <w:pPr>
        <w:pStyle w:val="Observation"/>
        <w:numPr>
          <w:ilvl w:val="0"/>
          <w:numId w:val="0"/>
        </w:numPr>
        <w:spacing w:after="0" w:line="360" w:lineRule="auto"/>
        <w:rPr>
          <w:rFonts w:eastAsiaTheme="minorEastAsia"/>
        </w:rPr>
      </w:pPr>
    </w:p>
    <w:p w14:paraId="5A84DDB4" w14:textId="77777777" w:rsidR="00B1605D" w:rsidRDefault="00B1605D" w:rsidP="00FF09C1">
      <w:pPr>
        <w:pStyle w:val="Observation"/>
        <w:numPr>
          <w:ilvl w:val="0"/>
          <w:numId w:val="0"/>
        </w:numPr>
        <w:spacing w:after="0" w:line="360" w:lineRule="auto"/>
        <w:rPr>
          <w:rFonts w:eastAsiaTheme="minorEastAsia"/>
        </w:rPr>
      </w:pPr>
    </w:p>
    <w:p w14:paraId="2C7B453F" w14:textId="476A77DB" w:rsidR="006F215D" w:rsidRDefault="006F215D" w:rsidP="00FF09C1">
      <w:pPr>
        <w:pStyle w:val="Observation"/>
        <w:numPr>
          <w:ilvl w:val="0"/>
          <w:numId w:val="0"/>
        </w:numPr>
        <w:spacing w:after="0" w:line="360" w:lineRule="auto"/>
        <w:rPr>
          <w:rFonts w:eastAsiaTheme="minorEastAsia"/>
        </w:rPr>
      </w:pPr>
      <w:r w:rsidRPr="000B0639">
        <w:rPr>
          <w:rFonts w:eastAsiaTheme="minorEastAsia"/>
        </w:rPr>
        <w:lastRenderedPageBreak/>
        <w:t xml:space="preserve">Issue </w:t>
      </w:r>
      <w:r>
        <w:rPr>
          <w:rFonts w:eastAsiaTheme="minorEastAsia"/>
        </w:rPr>
        <w:t>2</w:t>
      </w:r>
      <w:r w:rsidRPr="000B0639">
        <w:rPr>
          <w:rFonts w:eastAsiaTheme="minorEastAsia"/>
        </w:rPr>
        <w:t>:</w:t>
      </w:r>
      <w:r w:rsidRPr="000B0639">
        <w:rPr>
          <w:rFonts w:eastAsiaTheme="minorEastAsia"/>
          <w:b w:val="0"/>
          <w:bCs w:val="0"/>
        </w:rPr>
        <w:t xml:space="preserve"> </w:t>
      </w:r>
      <w:r>
        <w:rPr>
          <w:rFonts w:eastAsiaTheme="minorEastAsia"/>
          <w:b w:val="0"/>
          <w:bCs w:val="0"/>
        </w:rPr>
        <w:t xml:space="preserve">Unidirectional </w:t>
      </w:r>
      <w:r w:rsidR="008C4ED2">
        <w:rPr>
          <w:rFonts w:eastAsiaTheme="minorEastAsia"/>
          <w:b w:val="0"/>
          <w:bCs w:val="0"/>
        </w:rPr>
        <w:t>vs. bi-directional antennas at the RRHs</w:t>
      </w:r>
    </w:p>
    <w:p w14:paraId="5B25FB64" w14:textId="3F90E8B1" w:rsidR="006F215D" w:rsidRPr="00B140BD" w:rsidRDefault="006F215D" w:rsidP="00B140BD">
      <w:pPr>
        <w:pStyle w:val="Observation"/>
        <w:numPr>
          <w:ilvl w:val="0"/>
          <w:numId w:val="0"/>
        </w:numPr>
        <w:spacing w:after="0" w:line="276" w:lineRule="auto"/>
        <w:rPr>
          <w:rFonts w:eastAsiaTheme="minorEastAsia"/>
          <w:b w:val="0"/>
          <w:bCs w:val="0"/>
        </w:rPr>
      </w:pPr>
      <w:r w:rsidRPr="00B140BD">
        <w:rPr>
          <w:b w:val="0"/>
          <w:bCs w:val="0"/>
        </w:rPr>
        <w:t xml:space="preserve">When unidirectional antennas are deployed at the </w:t>
      </w:r>
      <w:r w:rsidR="00D43A83" w:rsidRPr="00B140BD">
        <w:rPr>
          <w:b w:val="0"/>
          <w:bCs w:val="0"/>
        </w:rPr>
        <w:t>RRHs</w:t>
      </w:r>
      <w:r w:rsidRPr="00B140BD">
        <w:rPr>
          <w:b w:val="0"/>
          <w:bCs w:val="0"/>
        </w:rPr>
        <w:t xml:space="preserve">, for most of the signal paths the Doppler shifts of different </w:t>
      </w:r>
      <w:r w:rsidR="00D43A83" w:rsidRPr="00B140BD">
        <w:rPr>
          <w:b w:val="0"/>
          <w:bCs w:val="0"/>
        </w:rPr>
        <w:t>RRHs</w:t>
      </w:r>
      <w:r w:rsidRPr="00B140BD">
        <w:rPr>
          <w:b w:val="0"/>
          <w:bCs w:val="0"/>
        </w:rPr>
        <w:t xml:space="preserve"> have the same sign, </w:t>
      </w:r>
      <w:r w:rsidR="00D43A83" w:rsidRPr="00B140BD">
        <w:rPr>
          <w:b w:val="0"/>
          <w:bCs w:val="0"/>
        </w:rPr>
        <w:t>leading</w:t>
      </w:r>
      <w:r w:rsidRPr="00B140BD">
        <w:rPr>
          <w:b w:val="0"/>
          <w:bCs w:val="0"/>
        </w:rPr>
        <w:t xml:space="preserve"> the Doppler spread</w:t>
      </w:r>
      <w:r w:rsidR="00D43A83" w:rsidRPr="00B140BD">
        <w:rPr>
          <w:b w:val="0"/>
          <w:bCs w:val="0"/>
        </w:rPr>
        <w:t xml:space="preserve"> to</w:t>
      </w:r>
      <w:r w:rsidRPr="00B140BD">
        <w:rPr>
          <w:b w:val="0"/>
          <w:bCs w:val="0"/>
        </w:rPr>
        <w:t xml:space="preserve"> become much smaller. </w:t>
      </w:r>
      <w:r w:rsidR="00D43A83" w:rsidRPr="00B140BD">
        <w:rPr>
          <w:b w:val="0"/>
          <w:bCs w:val="0"/>
        </w:rPr>
        <w:t>Thereby, i</w:t>
      </w:r>
      <w:r w:rsidRPr="00B140BD">
        <w:rPr>
          <w:b w:val="0"/>
          <w:bCs w:val="0"/>
        </w:rPr>
        <w:t xml:space="preserve">t is much easier to estimate the channel even if different </w:t>
      </w:r>
      <w:r w:rsidR="00D43A83" w:rsidRPr="00B140BD">
        <w:rPr>
          <w:b w:val="0"/>
          <w:bCs w:val="0"/>
        </w:rPr>
        <w:t>RRHs</w:t>
      </w:r>
      <w:r w:rsidRPr="00B140BD">
        <w:rPr>
          <w:b w:val="0"/>
          <w:bCs w:val="0"/>
        </w:rPr>
        <w:t xml:space="preserve"> transmit </w:t>
      </w:r>
      <w:r w:rsidR="00D43A83" w:rsidRPr="00B140BD">
        <w:rPr>
          <w:b w:val="0"/>
          <w:bCs w:val="0"/>
        </w:rPr>
        <w:t>reference</w:t>
      </w:r>
      <w:r w:rsidRPr="00B140BD">
        <w:rPr>
          <w:b w:val="0"/>
          <w:bCs w:val="0"/>
        </w:rPr>
        <w:t xml:space="preserve"> signals as SFN </w:t>
      </w:r>
      <w:r w:rsidR="00D43A83" w:rsidRPr="00B140BD">
        <w:rPr>
          <w:b w:val="0"/>
          <w:bCs w:val="0"/>
        </w:rPr>
        <w:t>using</w:t>
      </w:r>
      <w:r w:rsidRPr="00B140BD">
        <w:rPr>
          <w:b w:val="0"/>
          <w:bCs w:val="0"/>
        </w:rPr>
        <w:t xml:space="preserve"> the same resource. However, </w:t>
      </w:r>
      <w:r w:rsidR="00D43A83" w:rsidRPr="00B140BD">
        <w:rPr>
          <w:b w:val="0"/>
          <w:bCs w:val="0"/>
        </w:rPr>
        <w:t>since</w:t>
      </w:r>
      <w:r w:rsidRPr="00B140BD">
        <w:rPr>
          <w:b w:val="0"/>
          <w:bCs w:val="0"/>
        </w:rPr>
        <w:t xml:space="preserve"> support</w:t>
      </w:r>
      <w:r w:rsidR="00D43A83" w:rsidRPr="00B140BD">
        <w:rPr>
          <w:b w:val="0"/>
          <w:bCs w:val="0"/>
        </w:rPr>
        <w:t>ing</w:t>
      </w:r>
      <w:r w:rsidRPr="00B140BD">
        <w:rPr>
          <w:b w:val="0"/>
          <w:bCs w:val="0"/>
        </w:rPr>
        <w:t xml:space="preserve"> bi-directional antenna</w:t>
      </w:r>
      <w:r w:rsidR="00D43A83" w:rsidRPr="00B140BD">
        <w:rPr>
          <w:b w:val="0"/>
          <w:bCs w:val="0"/>
        </w:rPr>
        <w:t>s at the RRHs</w:t>
      </w:r>
      <w:r w:rsidRPr="00B140BD">
        <w:rPr>
          <w:b w:val="0"/>
          <w:bCs w:val="0"/>
        </w:rPr>
        <w:t xml:space="preserve"> is mandatory, we need to design the system </w:t>
      </w:r>
      <w:r w:rsidR="00D43A83" w:rsidRPr="00B140BD">
        <w:rPr>
          <w:b w:val="0"/>
          <w:bCs w:val="0"/>
        </w:rPr>
        <w:t>based on this</w:t>
      </w:r>
      <w:r w:rsidRPr="00B140BD">
        <w:rPr>
          <w:b w:val="0"/>
          <w:bCs w:val="0"/>
        </w:rPr>
        <w:t xml:space="preserve"> scenario. The solution developed for bi-directional antenna can easily support unidirectional antenna deployment. For the rest of the WI we should focus on the bi-directional antenna.</w:t>
      </w:r>
    </w:p>
    <w:p w14:paraId="12CDD218" w14:textId="289B7486" w:rsidR="00D43A83" w:rsidRPr="000B0639" w:rsidRDefault="00D43A83" w:rsidP="008F2A09">
      <w:pPr>
        <w:pStyle w:val="Observation"/>
        <w:spacing w:line="276" w:lineRule="auto"/>
        <w:ind w:left="1699" w:hanging="1699"/>
        <w:rPr>
          <w:rFonts w:eastAsiaTheme="minorEastAsia"/>
        </w:rPr>
      </w:pPr>
      <w:r>
        <w:t xml:space="preserve">Deployments with unidirectional antennas at the RRHs incur small Doppler </w:t>
      </w:r>
      <w:r w:rsidR="00245A4D">
        <w:t xml:space="preserve">spread </w:t>
      </w:r>
      <w:r>
        <w:t>values compared with deployments with bi-directional antennas at the RRHs</w:t>
      </w:r>
      <w:r w:rsidRPr="000B0639">
        <w:t>.</w:t>
      </w:r>
    </w:p>
    <w:p w14:paraId="35BB2072" w14:textId="22C95F7C" w:rsidR="005E4D4F" w:rsidRDefault="005E4D4F" w:rsidP="005E4D4F">
      <w:pPr>
        <w:pStyle w:val="Proposal"/>
        <w:numPr>
          <w:ilvl w:val="0"/>
          <w:numId w:val="14"/>
        </w:numPr>
        <w:tabs>
          <w:tab w:val="clear" w:pos="2024"/>
        </w:tabs>
        <w:ind w:left="1701" w:hanging="1701"/>
        <w:textAlignment w:val="auto"/>
      </w:pPr>
      <w:r>
        <w:t xml:space="preserve">The </w:t>
      </w:r>
      <w:r w:rsidR="00EE322E">
        <w:t xml:space="preserve">HST-SFN </w:t>
      </w:r>
      <w:r>
        <w:t>WI should focus on deployments with bi-directional antenna at RRHs.</w:t>
      </w:r>
    </w:p>
    <w:p w14:paraId="6AE94A21" w14:textId="77777777" w:rsidR="00D43A83" w:rsidRPr="000B0639" w:rsidRDefault="00D43A83" w:rsidP="00FF09C1">
      <w:pPr>
        <w:pStyle w:val="Observation"/>
        <w:numPr>
          <w:ilvl w:val="0"/>
          <w:numId w:val="0"/>
        </w:numPr>
        <w:spacing w:after="0" w:line="360" w:lineRule="auto"/>
        <w:rPr>
          <w:rFonts w:eastAsiaTheme="minorEastAsia"/>
        </w:rPr>
      </w:pPr>
    </w:p>
    <w:p w14:paraId="31C86987" w14:textId="620D38BD" w:rsidR="00FF09C1" w:rsidRPr="000B0639" w:rsidRDefault="00FF09C1" w:rsidP="005C6CFA">
      <w:pPr>
        <w:pStyle w:val="Observation"/>
        <w:numPr>
          <w:ilvl w:val="0"/>
          <w:numId w:val="0"/>
        </w:numPr>
        <w:spacing w:line="276" w:lineRule="auto"/>
        <w:rPr>
          <w:rFonts w:eastAsiaTheme="minorEastAsia"/>
          <w:b w:val="0"/>
          <w:bCs w:val="0"/>
        </w:rPr>
      </w:pPr>
      <w:r w:rsidRPr="000B0639">
        <w:rPr>
          <w:rFonts w:eastAsiaTheme="minorEastAsia"/>
        </w:rPr>
        <w:t xml:space="preserve">Issue </w:t>
      </w:r>
      <w:r w:rsidR="006F215D">
        <w:rPr>
          <w:rFonts w:eastAsiaTheme="minorEastAsia"/>
        </w:rPr>
        <w:t>3</w:t>
      </w:r>
      <w:r w:rsidRPr="000B0639">
        <w:rPr>
          <w:rFonts w:eastAsiaTheme="minorEastAsia"/>
        </w:rPr>
        <w:t>:</w:t>
      </w:r>
      <w:r w:rsidR="00A37354" w:rsidRPr="000B0639">
        <w:rPr>
          <w:rFonts w:eastAsiaTheme="minorEastAsia"/>
          <w:b w:val="0"/>
          <w:bCs w:val="0"/>
        </w:rPr>
        <w:t xml:space="preserve"> Other simulation considerations</w:t>
      </w:r>
    </w:p>
    <w:p w14:paraId="209D6F26" w14:textId="3A51EE73" w:rsidR="00D943A2" w:rsidRPr="000B0639" w:rsidRDefault="00A37354" w:rsidP="00D943A2">
      <w:pPr>
        <w:pStyle w:val="Observation"/>
        <w:numPr>
          <w:ilvl w:val="0"/>
          <w:numId w:val="0"/>
        </w:numPr>
        <w:spacing w:after="0" w:line="276" w:lineRule="auto"/>
        <w:rPr>
          <w:rFonts w:eastAsiaTheme="minorEastAsia"/>
          <w:b w:val="0"/>
          <w:bCs w:val="0"/>
        </w:rPr>
      </w:pPr>
      <w:r w:rsidRPr="000B0639">
        <w:rPr>
          <w:rFonts w:eastAsiaTheme="minorEastAsia"/>
          <w:b w:val="0"/>
          <w:bCs w:val="0"/>
        </w:rPr>
        <w:t xml:space="preserve">Multiple additional aspects of the simulation were discussed, including </w:t>
      </w:r>
      <w:r w:rsidR="00466866" w:rsidRPr="000B0639">
        <w:rPr>
          <w:rFonts w:eastAsiaTheme="minorEastAsia"/>
          <w:b w:val="0"/>
          <w:bCs w:val="0"/>
        </w:rPr>
        <w:t xml:space="preserve">considering </w:t>
      </w:r>
      <w:r w:rsidR="006F215D">
        <w:rPr>
          <w:rFonts w:eastAsiaTheme="minorEastAsia"/>
          <w:b w:val="0"/>
          <w:bCs w:val="0"/>
        </w:rPr>
        <w:t>modifying the RRH layout</w:t>
      </w:r>
      <w:r w:rsidR="00466866" w:rsidRPr="000B0639">
        <w:rPr>
          <w:rFonts w:eastAsiaTheme="minorEastAsia"/>
          <w:b w:val="0"/>
          <w:bCs w:val="0"/>
        </w:rPr>
        <w:t xml:space="preserve">, adopting CDL-based multipath extension corresponding to each </w:t>
      </w:r>
      <w:r w:rsidR="003A1A35">
        <w:rPr>
          <w:rFonts w:eastAsiaTheme="minorEastAsia"/>
          <w:b w:val="0"/>
          <w:bCs w:val="0"/>
        </w:rPr>
        <w:t>RRH</w:t>
      </w:r>
      <w:r w:rsidR="00466866" w:rsidRPr="000B0639">
        <w:rPr>
          <w:rFonts w:eastAsiaTheme="minorEastAsia"/>
          <w:b w:val="0"/>
          <w:bCs w:val="0"/>
        </w:rPr>
        <w:t xml:space="preserve"> link, as well as tunnel</w:t>
      </w:r>
      <w:r w:rsidR="00B1605D">
        <w:rPr>
          <w:rFonts w:eastAsiaTheme="minorEastAsia"/>
          <w:b w:val="0"/>
          <w:bCs w:val="0"/>
        </w:rPr>
        <w:t xml:space="preserve"> </w:t>
      </w:r>
      <w:r w:rsidR="00466866" w:rsidRPr="000B0639">
        <w:rPr>
          <w:rFonts w:eastAsiaTheme="minorEastAsia"/>
          <w:b w:val="0"/>
          <w:bCs w:val="0"/>
        </w:rPr>
        <w:t xml:space="preserve">deployment. While most of these proposals are plausible, we are concerned that many variations in the simulation assumptions would make it hard to compare results among companies, and hence dilute the significance of the simulations. We prefer proceeding with a basic model, with introducing no more than one additional feature, e.g., additional multi-path component for each UE-RRH link. </w:t>
      </w:r>
      <w:r w:rsidR="004E667A" w:rsidRPr="000B0639">
        <w:rPr>
          <w:rFonts w:eastAsiaTheme="minorEastAsia"/>
          <w:b w:val="0"/>
          <w:bCs w:val="0"/>
        </w:rPr>
        <w:t xml:space="preserve">Considering multiple </w:t>
      </w:r>
      <w:r w:rsidR="00466866" w:rsidRPr="000B0639">
        <w:rPr>
          <w:rFonts w:eastAsiaTheme="minorEastAsia"/>
          <w:b w:val="0"/>
          <w:bCs w:val="0"/>
        </w:rPr>
        <w:t xml:space="preserve">optional </w:t>
      </w:r>
      <w:r w:rsidR="004E667A" w:rsidRPr="000B0639">
        <w:rPr>
          <w:rFonts w:eastAsiaTheme="minorEastAsia"/>
          <w:b w:val="0"/>
          <w:bCs w:val="0"/>
        </w:rPr>
        <w:t>features simultaneously</w:t>
      </w:r>
      <w:r w:rsidR="00466866" w:rsidRPr="000B0639">
        <w:rPr>
          <w:rFonts w:eastAsiaTheme="minorEastAsia"/>
          <w:b w:val="0"/>
          <w:bCs w:val="0"/>
        </w:rPr>
        <w:t xml:space="preserve"> </w:t>
      </w:r>
      <w:r w:rsidR="004E667A" w:rsidRPr="000B0639">
        <w:rPr>
          <w:rFonts w:eastAsiaTheme="minorEastAsia"/>
          <w:b w:val="0"/>
          <w:bCs w:val="0"/>
        </w:rPr>
        <w:t>would not be useful, since it will be very hard to trace the impact of each optional feature separately.</w:t>
      </w:r>
    </w:p>
    <w:p w14:paraId="70851C6F" w14:textId="4D6B18A6" w:rsidR="00FF09C1" w:rsidRPr="000B0639" w:rsidRDefault="004E667A" w:rsidP="00D943A2">
      <w:pPr>
        <w:pStyle w:val="Observation"/>
        <w:numPr>
          <w:ilvl w:val="0"/>
          <w:numId w:val="0"/>
        </w:numPr>
        <w:spacing w:after="0" w:line="276" w:lineRule="auto"/>
        <w:rPr>
          <w:rFonts w:eastAsiaTheme="minorEastAsia"/>
          <w:b w:val="0"/>
          <w:bCs w:val="0"/>
        </w:rPr>
      </w:pPr>
      <w:r w:rsidRPr="000B0639">
        <w:rPr>
          <w:rFonts w:eastAsiaTheme="minorEastAsia"/>
          <w:b w:val="0"/>
          <w:bCs w:val="0"/>
        </w:rPr>
        <w:t xml:space="preserve"> </w:t>
      </w:r>
    </w:p>
    <w:p w14:paraId="553AD3D7" w14:textId="20898E12" w:rsidR="004E667A" w:rsidRPr="000B0639" w:rsidRDefault="004E667A" w:rsidP="008F2A09">
      <w:pPr>
        <w:pStyle w:val="Observation"/>
        <w:spacing w:line="276" w:lineRule="auto"/>
        <w:ind w:left="1699" w:hanging="1699"/>
        <w:rPr>
          <w:rFonts w:eastAsiaTheme="minorEastAsia"/>
        </w:rPr>
      </w:pPr>
      <w:r w:rsidRPr="000B0639">
        <w:t>Considering multiple optional features of the simulation may not be beneficial and would reduce the significance of simulation results, since it would be hard to trace the i</w:t>
      </w:r>
      <w:r w:rsidR="00E93703">
        <w:t>m</w:t>
      </w:r>
      <w:r w:rsidRPr="000B0639">
        <w:t>pact of each feature separately.</w:t>
      </w:r>
    </w:p>
    <w:p w14:paraId="3C0FBB80" w14:textId="52F98B95" w:rsidR="005E4D4F" w:rsidRDefault="005E4D4F" w:rsidP="005E4D4F">
      <w:pPr>
        <w:pStyle w:val="Proposal"/>
        <w:numPr>
          <w:ilvl w:val="0"/>
          <w:numId w:val="14"/>
        </w:numPr>
        <w:tabs>
          <w:tab w:val="clear" w:pos="2024"/>
        </w:tabs>
        <w:ind w:left="1701" w:hanging="1701"/>
        <w:textAlignment w:val="auto"/>
      </w:pPr>
      <w:r w:rsidRPr="000B0639">
        <w:t xml:space="preserve">Adopt a basic model for HST-SFN simulation, </w:t>
      </w:r>
      <w:r>
        <w:t xml:space="preserve">enhancing the model for specific deployments with </w:t>
      </w:r>
      <w:r w:rsidRPr="000B0639">
        <w:t>additional simulation results includ</w:t>
      </w:r>
      <w:r>
        <w:t>ing</w:t>
      </w:r>
      <w:r w:rsidRPr="000B0639">
        <w:t xml:space="preserve"> no more than one additional feature</w:t>
      </w:r>
      <w:r>
        <w:t>.</w:t>
      </w:r>
    </w:p>
    <w:p w14:paraId="61CF15D0" w14:textId="77777777" w:rsidR="00D12DC4" w:rsidRPr="000B0639" w:rsidRDefault="00D12DC4" w:rsidP="00D943A2">
      <w:pPr>
        <w:pStyle w:val="Heading1"/>
        <w:numPr>
          <w:ilvl w:val="0"/>
          <w:numId w:val="0"/>
        </w:numPr>
        <w:rPr>
          <w:lang w:val="en-US"/>
        </w:rPr>
        <w:sectPr w:rsidR="00D12DC4" w:rsidRPr="000B0639" w:rsidSect="00D12DC4">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pPr>
    </w:p>
    <w:p w14:paraId="53B21021" w14:textId="0871A846" w:rsidR="001217A0" w:rsidRPr="000B0639" w:rsidRDefault="00983425" w:rsidP="001217A0">
      <w:pPr>
        <w:pStyle w:val="Heading1"/>
        <w:rPr>
          <w:lang w:val="en-US"/>
        </w:rPr>
      </w:pPr>
      <w:bookmarkStart w:id="5" w:name="_GoBack"/>
      <w:r w:rsidRPr="00863AF7">
        <w:rPr>
          <w:rFonts w:eastAsiaTheme="minorHAnsi"/>
          <w:b/>
          <w:bCs/>
          <w:noProof/>
        </w:rPr>
        <w:drawing>
          <wp:anchor distT="0" distB="0" distL="114300" distR="114300" simplePos="0" relativeHeight="251659264" behindDoc="0" locked="0" layoutInCell="1" allowOverlap="1" wp14:anchorId="7EF934EB" wp14:editId="702ADF38">
            <wp:simplePos x="0" y="0"/>
            <wp:positionH relativeFrom="margin">
              <wp:posOffset>1990725</wp:posOffset>
            </wp:positionH>
            <wp:positionV relativeFrom="paragraph">
              <wp:posOffset>448310</wp:posOffset>
            </wp:positionV>
            <wp:extent cx="1861820" cy="2000250"/>
            <wp:effectExtent l="0" t="0" r="508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61820" cy="20002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5"/>
      <w:r w:rsidR="004E667A" w:rsidRPr="000B0639">
        <w:rPr>
          <w:lang w:val="en-US"/>
        </w:rPr>
        <w:t>Proposed HST-SFN deployment</w:t>
      </w:r>
    </w:p>
    <w:p w14:paraId="0A315DE8" w14:textId="55D13BB1" w:rsidR="00983425" w:rsidRPr="00863AF7" w:rsidRDefault="00983425" w:rsidP="00983425">
      <w:pPr>
        <w:pStyle w:val="Caption"/>
        <w:rPr>
          <w:rFonts w:eastAsiaTheme="minorEastAsia"/>
          <w:b w:val="0"/>
          <w:bCs w:val="0"/>
        </w:rPr>
      </w:pPr>
      <w:bookmarkStart w:id="6" w:name="_Ref47551826"/>
      <w:r w:rsidRPr="00863AF7">
        <w:rPr>
          <w:b w:val="0"/>
          <w:bCs w:val="0"/>
        </w:rPr>
        <w:t xml:space="preserve">Figure </w:t>
      </w:r>
      <w:r w:rsidRPr="00863AF7">
        <w:rPr>
          <w:b w:val="0"/>
          <w:bCs w:val="0"/>
        </w:rPr>
        <w:fldChar w:fldCharType="begin"/>
      </w:r>
      <w:r w:rsidRPr="00863AF7">
        <w:rPr>
          <w:b w:val="0"/>
          <w:bCs w:val="0"/>
        </w:rPr>
        <w:instrText xml:space="preserve"> SEQ Figure \* ARABIC </w:instrText>
      </w:r>
      <w:r w:rsidRPr="00863AF7">
        <w:rPr>
          <w:b w:val="0"/>
          <w:bCs w:val="0"/>
        </w:rPr>
        <w:fldChar w:fldCharType="separate"/>
      </w:r>
      <w:r w:rsidR="009179B6">
        <w:rPr>
          <w:b w:val="0"/>
          <w:bCs w:val="0"/>
          <w:noProof/>
        </w:rPr>
        <w:t>4</w:t>
      </w:r>
      <w:r w:rsidRPr="00863AF7">
        <w:rPr>
          <w:b w:val="0"/>
          <w:bCs w:val="0"/>
        </w:rPr>
        <w:fldChar w:fldCharType="end"/>
      </w:r>
      <w:bookmarkEnd w:id="6"/>
      <w:r w:rsidRPr="00863AF7">
        <w:rPr>
          <w:b w:val="0"/>
          <w:bCs w:val="0"/>
        </w:rPr>
        <w:t xml:space="preserve">: UE in HST surrounded by two RRHs with Channels </w:t>
      </w:r>
      <w:r w:rsidRPr="00863AF7">
        <w:rPr>
          <w:b w:val="0"/>
          <w:bCs w:val="0"/>
          <w:i/>
          <w:iCs/>
        </w:rPr>
        <w:t>H</w:t>
      </w:r>
      <w:r w:rsidRPr="00863AF7">
        <w:rPr>
          <w:b w:val="0"/>
          <w:bCs w:val="0"/>
          <w:i/>
          <w:iCs/>
          <w:vertAlign w:val="subscript"/>
        </w:rPr>
        <w:t>1</w:t>
      </w:r>
      <w:r w:rsidRPr="00863AF7">
        <w:rPr>
          <w:b w:val="0"/>
          <w:bCs w:val="0"/>
        </w:rPr>
        <w:t xml:space="preserve">, </w:t>
      </w:r>
      <w:r w:rsidRPr="00863AF7">
        <w:rPr>
          <w:b w:val="0"/>
          <w:bCs w:val="0"/>
          <w:i/>
          <w:iCs/>
        </w:rPr>
        <w:t>H</w:t>
      </w:r>
      <w:r w:rsidRPr="00863AF7">
        <w:rPr>
          <w:b w:val="0"/>
          <w:bCs w:val="0"/>
          <w:i/>
          <w:iCs/>
          <w:vertAlign w:val="subscript"/>
        </w:rPr>
        <w:t>2</w:t>
      </w:r>
      <w:r w:rsidRPr="00863AF7">
        <w:rPr>
          <w:b w:val="0"/>
          <w:bCs w:val="0"/>
        </w:rPr>
        <w:t>, respectively</w:t>
      </w:r>
      <w:r>
        <w:rPr>
          <w:b w:val="0"/>
          <w:bCs w:val="0"/>
        </w:rPr>
        <w:t>.</w:t>
      </w:r>
    </w:p>
    <w:p w14:paraId="5CEF610C" w14:textId="60BA111E" w:rsidR="007B31B3" w:rsidRDefault="00D943A2" w:rsidP="00802B82">
      <w:pPr>
        <w:pStyle w:val="Observation"/>
        <w:numPr>
          <w:ilvl w:val="0"/>
          <w:numId w:val="0"/>
        </w:numPr>
        <w:spacing w:after="0" w:line="276" w:lineRule="auto"/>
        <w:rPr>
          <w:rFonts w:eastAsiaTheme="minorEastAsia"/>
          <w:b w:val="0"/>
          <w:bCs w:val="0"/>
        </w:rPr>
      </w:pPr>
      <w:r w:rsidRPr="000B0639">
        <w:rPr>
          <w:rFonts w:eastAsiaTheme="minorEastAsia"/>
          <w:b w:val="0"/>
          <w:bCs w:val="0"/>
        </w:rPr>
        <w:t>As mentioned previously, pure SFN deployment with the same TRS transmitted from all RRHs would lead to Doppler estimation issues due to the high speed of the train. In addition, transmitting the same PDSCH DMRS from all RRHs implies that one aggregate channel from nearby RRHs is estimated, rather than estimating the channel corresponding to each RRH separately</w:t>
      </w:r>
      <w:r w:rsidR="00863AF7">
        <w:rPr>
          <w:rFonts w:eastAsiaTheme="minorEastAsia"/>
          <w:b w:val="0"/>
          <w:bCs w:val="0"/>
        </w:rPr>
        <w:t xml:space="preserve">, given that the channels from different RRHs are not the same, as shown in </w:t>
      </w:r>
      <w:r w:rsidR="00863AF7">
        <w:rPr>
          <w:rFonts w:eastAsiaTheme="minorEastAsia"/>
          <w:b w:val="0"/>
          <w:bCs w:val="0"/>
        </w:rPr>
        <w:fldChar w:fldCharType="begin"/>
      </w:r>
      <w:r w:rsidR="00863AF7">
        <w:rPr>
          <w:rFonts w:eastAsiaTheme="minorEastAsia"/>
          <w:b w:val="0"/>
          <w:bCs w:val="0"/>
        </w:rPr>
        <w:instrText xml:space="preserve"> REF _Ref47551826 \h </w:instrText>
      </w:r>
      <w:r w:rsidR="00863AF7">
        <w:rPr>
          <w:rFonts w:eastAsiaTheme="minorEastAsia"/>
          <w:b w:val="0"/>
          <w:bCs w:val="0"/>
        </w:rPr>
      </w:r>
      <w:r w:rsidR="00863AF7">
        <w:rPr>
          <w:rFonts w:eastAsiaTheme="minorEastAsia"/>
          <w:b w:val="0"/>
          <w:bCs w:val="0"/>
        </w:rPr>
        <w:fldChar w:fldCharType="separate"/>
      </w:r>
      <w:r w:rsidR="00863AF7" w:rsidRPr="00863AF7">
        <w:rPr>
          <w:b w:val="0"/>
          <w:bCs w:val="0"/>
        </w:rPr>
        <w:t xml:space="preserve">Figure </w:t>
      </w:r>
      <w:r w:rsidR="00863AF7" w:rsidRPr="00863AF7">
        <w:rPr>
          <w:b w:val="0"/>
          <w:bCs w:val="0"/>
          <w:noProof/>
        </w:rPr>
        <w:t>2</w:t>
      </w:r>
      <w:r w:rsidR="00863AF7">
        <w:rPr>
          <w:rFonts w:eastAsiaTheme="minorEastAsia"/>
          <w:b w:val="0"/>
          <w:bCs w:val="0"/>
        </w:rPr>
        <w:fldChar w:fldCharType="end"/>
      </w:r>
      <w:r w:rsidRPr="000B0639">
        <w:rPr>
          <w:rFonts w:eastAsiaTheme="minorEastAsia"/>
          <w:b w:val="0"/>
          <w:bCs w:val="0"/>
        </w:rPr>
        <w:t>.</w:t>
      </w:r>
      <w:r w:rsidR="006D3866" w:rsidRPr="000B0639">
        <w:rPr>
          <w:rFonts w:eastAsiaTheme="minorEastAsia"/>
          <w:b w:val="0"/>
          <w:bCs w:val="0"/>
        </w:rPr>
        <w:t xml:space="preserve"> On the </w:t>
      </w:r>
      <w:r w:rsidR="006D3866" w:rsidRPr="000B0639">
        <w:rPr>
          <w:rFonts w:eastAsiaTheme="minorEastAsia"/>
          <w:b w:val="0"/>
          <w:bCs w:val="0"/>
        </w:rPr>
        <w:lastRenderedPageBreak/>
        <w:t>other hand, dedicating</w:t>
      </w:r>
      <w:r w:rsidRPr="000B0639">
        <w:rPr>
          <w:rFonts w:eastAsiaTheme="minorEastAsia"/>
          <w:b w:val="0"/>
          <w:bCs w:val="0"/>
        </w:rPr>
        <w:t xml:space="preserve"> </w:t>
      </w:r>
      <w:r w:rsidR="006D3866" w:rsidRPr="000B0639">
        <w:rPr>
          <w:rFonts w:eastAsiaTheme="minorEastAsia"/>
          <w:b w:val="0"/>
          <w:bCs w:val="0"/>
        </w:rPr>
        <w:t>separate TR</w:t>
      </w:r>
      <w:r w:rsidR="000B0639">
        <w:rPr>
          <w:rFonts w:eastAsiaTheme="minorEastAsia"/>
          <w:b w:val="0"/>
          <w:bCs w:val="0"/>
        </w:rPr>
        <w:t>S</w:t>
      </w:r>
      <w:r w:rsidR="006D3866" w:rsidRPr="000B0639">
        <w:rPr>
          <w:rFonts w:eastAsiaTheme="minorEastAsia"/>
          <w:b w:val="0"/>
          <w:bCs w:val="0"/>
        </w:rPr>
        <w:t>s and PDSCH DMRS ports for each of the neighbor</w:t>
      </w:r>
      <w:r w:rsidR="00F5044C" w:rsidRPr="000B0639">
        <w:rPr>
          <w:rFonts w:eastAsiaTheme="minorEastAsia"/>
          <w:b w:val="0"/>
          <w:bCs w:val="0"/>
        </w:rPr>
        <w:t>i</w:t>
      </w:r>
      <w:r w:rsidR="006D3866" w:rsidRPr="000B0639">
        <w:rPr>
          <w:rFonts w:eastAsiaTheme="minorEastAsia"/>
          <w:b w:val="0"/>
          <w:bCs w:val="0"/>
        </w:rPr>
        <w:t>ng RRH</w:t>
      </w:r>
      <w:r w:rsidR="00F5044C" w:rsidRPr="000B0639">
        <w:rPr>
          <w:rFonts w:eastAsiaTheme="minorEastAsia"/>
          <w:b w:val="0"/>
          <w:bCs w:val="0"/>
        </w:rPr>
        <w:t xml:space="preserve"> is not resource-efficient, in addition to incurring high complexity at the UE</w:t>
      </w:r>
      <w:r w:rsidR="00F96626" w:rsidRPr="000B0639">
        <w:rPr>
          <w:rFonts w:eastAsiaTheme="minorEastAsia"/>
          <w:b w:val="0"/>
          <w:bCs w:val="0"/>
        </w:rPr>
        <w:t xml:space="preserve"> </w:t>
      </w:r>
      <w:r w:rsidR="00F5044C" w:rsidRPr="000B0639">
        <w:rPr>
          <w:rFonts w:eastAsiaTheme="minorEastAsia"/>
          <w:b w:val="0"/>
          <w:bCs w:val="0"/>
        </w:rPr>
        <w:t>s</w:t>
      </w:r>
      <w:r w:rsidR="00F96626" w:rsidRPr="000B0639">
        <w:rPr>
          <w:rFonts w:eastAsiaTheme="minorEastAsia"/>
          <w:b w:val="0"/>
          <w:bCs w:val="0"/>
        </w:rPr>
        <w:t>ide</w:t>
      </w:r>
      <w:r w:rsidR="00F5044C" w:rsidRPr="000B0639">
        <w:rPr>
          <w:rFonts w:eastAsiaTheme="minorEastAsia"/>
          <w:b w:val="0"/>
          <w:bCs w:val="0"/>
        </w:rPr>
        <w:t>.</w:t>
      </w:r>
    </w:p>
    <w:p w14:paraId="7F3BC85F" w14:textId="16E29230" w:rsidR="000B20D8" w:rsidRPr="000B0639" w:rsidRDefault="00F96626" w:rsidP="005C6CFA">
      <w:pPr>
        <w:pStyle w:val="Observation"/>
        <w:numPr>
          <w:ilvl w:val="0"/>
          <w:numId w:val="0"/>
        </w:numPr>
        <w:spacing w:line="276" w:lineRule="auto"/>
        <w:rPr>
          <w:rFonts w:eastAsiaTheme="minorEastAsia"/>
          <w:b w:val="0"/>
          <w:bCs w:val="0"/>
        </w:rPr>
      </w:pPr>
      <w:r w:rsidRPr="000B0639">
        <w:rPr>
          <w:rFonts w:eastAsiaTheme="minorEastAsia"/>
          <w:b w:val="0"/>
          <w:bCs w:val="0"/>
        </w:rPr>
        <w:t xml:space="preserve">One approach that achieves a reasonable tradeoff between performance and complexity is configuring the UE with two TRSs corresponding to two NZP CSI-RS resource sets, so that the UE can estimate the Doppler shift from both neighboring RRHs. Note that only two TRSs suffice for all RRHs, since the UE is more likely to have no more than two dominant </w:t>
      </w:r>
      <w:r w:rsidR="000B0639" w:rsidRPr="000B0639">
        <w:rPr>
          <w:rFonts w:eastAsiaTheme="minorEastAsia"/>
          <w:b w:val="0"/>
          <w:bCs w:val="0"/>
        </w:rPr>
        <w:t>RRH</w:t>
      </w:r>
      <w:r w:rsidRPr="000B0639">
        <w:rPr>
          <w:rFonts w:eastAsiaTheme="minorEastAsia"/>
          <w:b w:val="0"/>
          <w:bCs w:val="0"/>
        </w:rPr>
        <w:t xml:space="preserve">s at a time, e.g., RRH1 and RRH2 in </w:t>
      </w:r>
      <w:r w:rsidRPr="000B0639">
        <w:rPr>
          <w:rFonts w:eastAsiaTheme="minorEastAsia"/>
          <w:b w:val="0"/>
          <w:bCs w:val="0"/>
        </w:rPr>
        <w:fldChar w:fldCharType="begin"/>
      </w:r>
      <w:r w:rsidRPr="000B0639">
        <w:rPr>
          <w:rFonts w:eastAsiaTheme="minorEastAsia"/>
          <w:b w:val="0"/>
          <w:bCs w:val="0"/>
        </w:rPr>
        <w:instrText xml:space="preserve"> REF _Ref47537823 \h  \* MERGEFORMAT </w:instrText>
      </w:r>
      <w:r w:rsidRPr="000B0639">
        <w:rPr>
          <w:rFonts w:eastAsiaTheme="minorEastAsia"/>
          <w:b w:val="0"/>
          <w:bCs w:val="0"/>
        </w:rPr>
      </w:r>
      <w:r w:rsidRPr="000B0639">
        <w:rPr>
          <w:rFonts w:eastAsiaTheme="minorEastAsia"/>
          <w:b w:val="0"/>
          <w:bCs w:val="0"/>
        </w:rPr>
        <w:fldChar w:fldCharType="separate"/>
      </w:r>
      <w:r w:rsidRPr="000B0639">
        <w:rPr>
          <w:b w:val="0"/>
          <w:bCs w:val="0"/>
        </w:rPr>
        <w:t xml:space="preserve">Figure </w:t>
      </w:r>
      <w:r w:rsidRPr="000B0639">
        <w:rPr>
          <w:b w:val="0"/>
          <w:bCs w:val="0"/>
          <w:noProof/>
        </w:rPr>
        <w:t>1</w:t>
      </w:r>
      <w:r w:rsidRPr="000B0639">
        <w:rPr>
          <w:rFonts w:eastAsiaTheme="minorEastAsia"/>
          <w:b w:val="0"/>
          <w:bCs w:val="0"/>
        </w:rPr>
        <w:fldChar w:fldCharType="end"/>
      </w:r>
      <w:r w:rsidR="000B0639" w:rsidRPr="000B0639">
        <w:rPr>
          <w:rFonts w:eastAsiaTheme="minorEastAsia"/>
          <w:b w:val="0"/>
          <w:bCs w:val="0"/>
        </w:rPr>
        <w:t>, which are the two closest RRHs to the UE.</w:t>
      </w:r>
      <w:r w:rsidR="000B0639">
        <w:rPr>
          <w:rFonts w:eastAsiaTheme="minorEastAsia"/>
          <w:b w:val="0"/>
          <w:bCs w:val="0"/>
        </w:rPr>
        <w:t xml:space="preserve"> For instance, even-numbered RRHs would transmit TRS1 whereas odd-numbered RRHs would transmit TRS2.</w:t>
      </w:r>
      <w:r w:rsidR="00D943A2" w:rsidRPr="000B0639">
        <w:rPr>
          <w:rFonts w:eastAsiaTheme="minorEastAsia"/>
          <w:b w:val="0"/>
          <w:bCs w:val="0"/>
        </w:rPr>
        <w:t xml:space="preserve"> </w:t>
      </w:r>
      <w:r w:rsidR="00CB042E" w:rsidRPr="000B0639">
        <w:rPr>
          <w:rFonts w:eastAsiaTheme="minorEastAsia"/>
        </w:rPr>
        <w:t xml:space="preserve"> </w:t>
      </w:r>
    </w:p>
    <w:p w14:paraId="6452E25F" w14:textId="41C962E3" w:rsidR="005E4D4F" w:rsidRDefault="005E4D4F" w:rsidP="005E4D4F">
      <w:pPr>
        <w:pStyle w:val="Proposal"/>
        <w:numPr>
          <w:ilvl w:val="0"/>
          <w:numId w:val="14"/>
        </w:numPr>
        <w:tabs>
          <w:tab w:val="clear" w:pos="2024"/>
        </w:tabs>
        <w:ind w:left="1701" w:hanging="1701"/>
        <w:textAlignment w:val="auto"/>
      </w:pPr>
      <w:r w:rsidRPr="000B0639">
        <w:t>The</w:t>
      </w:r>
      <w:r>
        <w:t xml:space="preserve"> UE is configured with two TRSs, each corresponding to one of the two neighboring RRHs surrounding the UE. The UE would be able to estimate the Doppler shifts of the channels from both RRHs.</w:t>
      </w:r>
    </w:p>
    <w:p w14:paraId="17751CF6" w14:textId="6FD88421" w:rsidR="00863AF7" w:rsidRDefault="00863AF7" w:rsidP="007B31B3">
      <w:pPr>
        <w:pStyle w:val="Observation"/>
        <w:numPr>
          <w:ilvl w:val="0"/>
          <w:numId w:val="0"/>
        </w:numPr>
        <w:spacing w:line="276" w:lineRule="auto"/>
        <w:rPr>
          <w:b w:val="0"/>
          <w:bCs w:val="0"/>
        </w:rPr>
      </w:pPr>
      <w:r>
        <w:rPr>
          <w:b w:val="0"/>
          <w:bCs w:val="0"/>
        </w:rPr>
        <w:t>Note that one TCI state that would specify the QCL relationship corresponding to the two TRSs with the DMRS port(s) would not suffice, and thereby at least two TCI states should be indicated in the triggering DCI.</w:t>
      </w:r>
    </w:p>
    <w:p w14:paraId="3C9AE503" w14:textId="15A8405E" w:rsidR="00863AF7" w:rsidRPr="000B0639" w:rsidRDefault="00863AF7" w:rsidP="005C6CFA">
      <w:pPr>
        <w:pStyle w:val="Observation"/>
        <w:spacing w:line="276" w:lineRule="auto"/>
        <w:rPr>
          <w:rFonts w:eastAsiaTheme="minorEastAsia"/>
        </w:rPr>
      </w:pPr>
      <w:r>
        <w:t>One TCI state would not suffice to indicate the Q</w:t>
      </w:r>
      <w:r w:rsidRPr="000B0639">
        <w:t>C</w:t>
      </w:r>
      <w:r>
        <w:t xml:space="preserve">L relationship between the two TRSs and the </w:t>
      </w:r>
      <w:r w:rsidR="00EE322E">
        <w:t xml:space="preserve">set of </w:t>
      </w:r>
      <w:r>
        <w:t>PDSCH DMRS port(s)</w:t>
      </w:r>
      <w:r w:rsidRPr="000B0639">
        <w:t>.</w:t>
      </w:r>
    </w:p>
    <w:p w14:paraId="6EE477AB" w14:textId="32D6DCF8" w:rsidR="00267690" w:rsidRDefault="006008D9" w:rsidP="007B31B3">
      <w:pPr>
        <w:pStyle w:val="Observation"/>
        <w:numPr>
          <w:ilvl w:val="0"/>
          <w:numId w:val="0"/>
        </w:numPr>
        <w:spacing w:line="276" w:lineRule="auto"/>
        <w:rPr>
          <w:b w:val="0"/>
          <w:bCs w:val="0"/>
        </w:rPr>
      </w:pPr>
      <w:r>
        <w:rPr>
          <w:b w:val="0"/>
          <w:bCs w:val="0"/>
        </w:rPr>
        <w:t>One way</w:t>
      </w:r>
      <w:r w:rsidR="006A4205">
        <w:rPr>
          <w:b w:val="0"/>
          <w:bCs w:val="0"/>
        </w:rPr>
        <w:t xml:space="preserve"> to link the Doppler of the two TRSs with the PDSCH DMRS port(s)</w:t>
      </w:r>
      <w:r w:rsidR="00802B82">
        <w:rPr>
          <w:b w:val="0"/>
          <w:bCs w:val="0"/>
        </w:rPr>
        <w:t xml:space="preserve"> is via using</w:t>
      </w:r>
      <w:r w:rsidR="006A4205">
        <w:rPr>
          <w:b w:val="0"/>
          <w:bCs w:val="0"/>
        </w:rPr>
        <w:t xml:space="preserve"> one TCI codepoint in the triggering DCI </w:t>
      </w:r>
      <w:r w:rsidR="00802B82">
        <w:rPr>
          <w:b w:val="0"/>
          <w:bCs w:val="0"/>
        </w:rPr>
        <w:t>to</w:t>
      </w:r>
      <w:r w:rsidR="006A4205">
        <w:rPr>
          <w:b w:val="0"/>
          <w:bCs w:val="0"/>
        </w:rPr>
        <w:t xml:space="preserve"> indicate two TCI states, each corresponding to one of the two TRSs transmitted from the RRHs. The TCI state would indicate the QCL relationship between one TRS and the DMRS port(s) received. The QCL relationship can be of Type A (in addition to Type D for FR2). </w:t>
      </w:r>
    </w:p>
    <w:p w14:paraId="041D8047" w14:textId="0B3B77E7" w:rsidR="00B97722" w:rsidRPr="000B0639" w:rsidRDefault="00B97722" w:rsidP="00B97722">
      <w:pPr>
        <w:pStyle w:val="Proposal"/>
        <w:numPr>
          <w:ilvl w:val="0"/>
          <w:numId w:val="14"/>
        </w:numPr>
        <w:tabs>
          <w:tab w:val="clear" w:pos="2024"/>
        </w:tabs>
        <w:ind w:left="1701" w:hanging="1701"/>
        <w:textAlignment w:val="auto"/>
      </w:pPr>
      <w:r>
        <w:t>One TCI codepoint referring to two TCI states is needed to indicate the QCL relationship between the two TRSs and the</w:t>
      </w:r>
      <w:r w:rsidR="00EE322E">
        <w:t xml:space="preserve"> set of</w:t>
      </w:r>
      <w:r>
        <w:t xml:space="preserve"> PDSCH DMRS port(s).</w:t>
      </w:r>
    </w:p>
    <w:p w14:paraId="29E372FD" w14:textId="22E421C2" w:rsidR="006A4205" w:rsidRPr="006008D9" w:rsidRDefault="006008D9" w:rsidP="007B31B3">
      <w:pPr>
        <w:pStyle w:val="Observation"/>
        <w:numPr>
          <w:ilvl w:val="0"/>
          <w:numId w:val="0"/>
        </w:numPr>
        <w:spacing w:line="276" w:lineRule="auto"/>
        <w:rPr>
          <w:b w:val="0"/>
          <w:bCs w:val="0"/>
        </w:rPr>
      </w:pPr>
      <w:r>
        <w:rPr>
          <w:b w:val="0"/>
          <w:bCs w:val="0"/>
        </w:rPr>
        <w:t xml:space="preserve">Now, given that the Doppler of the channels from the two neighboring RRHs is </w:t>
      </w:r>
      <w:r w:rsidR="00802B82">
        <w:rPr>
          <w:b w:val="0"/>
          <w:bCs w:val="0"/>
        </w:rPr>
        <w:t>estimated from the TRSs</w:t>
      </w:r>
      <w:r>
        <w:rPr>
          <w:b w:val="0"/>
          <w:bCs w:val="0"/>
        </w:rPr>
        <w:t xml:space="preserve">, </w:t>
      </w:r>
      <w:r w:rsidR="00730CA9">
        <w:rPr>
          <w:b w:val="0"/>
          <w:bCs w:val="0"/>
        </w:rPr>
        <w:t>i</w:t>
      </w:r>
      <w:r>
        <w:rPr>
          <w:b w:val="0"/>
          <w:bCs w:val="0"/>
        </w:rPr>
        <w:t xml:space="preserve">n order to decode the channels </w:t>
      </w:r>
      <w:r w:rsidRPr="006008D9">
        <w:rPr>
          <w:b w:val="0"/>
          <w:bCs w:val="0"/>
          <w:i/>
          <w:iCs/>
        </w:rPr>
        <w:t>H</w:t>
      </w:r>
      <w:r w:rsidRPr="006008D9">
        <w:rPr>
          <w:b w:val="0"/>
          <w:bCs w:val="0"/>
          <w:i/>
          <w:iCs/>
          <w:vertAlign w:val="subscript"/>
        </w:rPr>
        <w:t>1</w:t>
      </w:r>
      <w:r>
        <w:rPr>
          <w:b w:val="0"/>
          <w:bCs w:val="0"/>
        </w:rPr>
        <w:t xml:space="preserve"> and </w:t>
      </w:r>
      <w:r w:rsidRPr="006008D9">
        <w:rPr>
          <w:b w:val="0"/>
          <w:bCs w:val="0"/>
          <w:i/>
          <w:iCs/>
        </w:rPr>
        <w:t>H</w:t>
      </w:r>
      <w:r w:rsidRPr="006008D9">
        <w:rPr>
          <w:b w:val="0"/>
          <w:bCs w:val="0"/>
          <w:i/>
          <w:iCs/>
          <w:vertAlign w:val="subscript"/>
        </w:rPr>
        <w:t>2</w:t>
      </w:r>
      <w:r>
        <w:rPr>
          <w:b w:val="0"/>
          <w:bCs w:val="0"/>
        </w:rPr>
        <w:t xml:space="preserve"> from both RRHs, </w:t>
      </w:r>
      <w:r w:rsidR="00730CA9">
        <w:rPr>
          <w:b w:val="0"/>
          <w:bCs w:val="0"/>
        </w:rPr>
        <w:t>different DMRS symbols from the two RRHs should be identified. Instead of triggering two sets of DMRS port(s) for both RRHs, one can partition the DMRS symbols for each DMRS port under a given DMRS configuration into two disjoint</w:t>
      </w:r>
      <w:r w:rsidR="00802B82">
        <w:rPr>
          <w:b w:val="0"/>
          <w:bCs w:val="0"/>
        </w:rPr>
        <w:t xml:space="preserve"> subsets of</w:t>
      </w:r>
      <w:r w:rsidR="00730CA9">
        <w:rPr>
          <w:b w:val="0"/>
          <w:bCs w:val="0"/>
        </w:rPr>
        <w:t xml:space="preserve"> DMRS </w:t>
      </w:r>
      <w:r w:rsidR="00FE79E3">
        <w:rPr>
          <w:b w:val="0"/>
          <w:bCs w:val="0"/>
        </w:rPr>
        <w:t>symbols</w:t>
      </w:r>
      <w:r w:rsidR="00730CA9">
        <w:rPr>
          <w:b w:val="0"/>
          <w:bCs w:val="0"/>
        </w:rPr>
        <w:t>, where the partitioning is pur</w:t>
      </w:r>
      <w:r w:rsidR="00FE79E3">
        <w:rPr>
          <w:b w:val="0"/>
          <w:bCs w:val="0"/>
        </w:rPr>
        <w:t xml:space="preserve">sued separately for each DMRS port. </w:t>
      </w:r>
      <w:r w:rsidR="001A2585">
        <w:rPr>
          <w:b w:val="0"/>
          <w:bCs w:val="0"/>
        </w:rPr>
        <w:t xml:space="preserve">One </w:t>
      </w:r>
      <w:r w:rsidR="00FE79E3">
        <w:rPr>
          <w:b w:val="0"/>
          <w:bCs w:val="0"/>
        </w:rPr>
        <w:t>example</w:t>
      </w:r>
      <w:r w:rsidR="001A2585">
        <w:rPr>
          <w:b w:val="0"/>
          <w:bCs w:val="0"/>
        </w:rPr>
        <w:t xml:space="preserve"> of such partitioning</w:t>
      </w:r>
      <w:r w:rsidR="00FE79E3">
        <w:rPr>
          <w:b w:val="0"/>
          <w:bCs w:val="0"/>
        </w:rPr>
        <w:t xml:space="preserve"> is provided in </w:t>
      </w:r>
      <w:r w:rsidR="00FE79E3">
        <w:rPr>
          <w:b w:val="0"/>
          <w:bCs w:val="0"/>
        </w:rPr>
        <w:fldChar w:fldCharType="begin"/>
      </w:r>
      <w:r w:rsidR="00FE79E3">
        <w:rPr>
          <w:b w:val="0"/>
          <w:bCs w:val="0"/>
        </w:rPr>
        <w:instrText xml:space="preserve"> REF _Ref47553805 \h </w:instrText>
      </w:r>
      <w:r w:rsidR="007B31B3">
        <w:rPr>
          <w:b w:val="0"/>
          <w:bCs w:val="0"/>
        </w:rPr>
        <w:instrText xml:space="preserve"> \* MERGEFORMAT </w:instrText>
      </w:r>
      <w:r w:rsidR="00FE79E3">
        <w:rPr>
          <w:b w:val="0"/>
          <w:bCs w:val="0"/>
        </w:rPr>
      </w:r>
      <w:r w:rsidR="00FE79E3">
        <w:rPr>
          <w:b w:val="0"/>
          <w:bCs w:val="0"/>
        </w:rPr>
        <w:fldChar w:fldCharType="separate"/>
      </w:r>
      <w:r w:rsidR="00FE79E3" w:rsidRPr="00FE79E3">
        <w:rPr>
          <w:b w:val="0"/>
          <w:bCs w:val="0"/>
        </w:rPr>
        <w:t xml:space="preserve">Figure </w:t>
      </w:r>
      <w:r w:rsidR="00FE79E3" w:rsidRPr="00FE79E3">
        <w:rPr>
          <w:b w:val="0"/>
          <w:bCs w:val="0"/>
          <w:noProof/>
        </w:rPr>
        <w:t>3</w:t>
      </w:r>
      <w:r w:rsidR="00FE79E3">
        <w:rPr>
          <w:b w:val="0"/>
          <w:bCs w:val="0"/>
        </w:rPr>
        <w:fldChar w:fldCharType="end"/>
      </w:r>
      <w:r w:rsidR="00FE79E3">
        <w:rPr>
          <w:b w:val="0"/>
          <w:bCs w:val="0"/>
        </w:rPr>
        <w:t xml:space="preserve"> for a single-layer transmission with front-loaded</w:t>
      </w:r>
      <w:r w:rsidR="00802B82">
        <w:rPr>
          <w:b w:val="0"/>
          <w:bCs w:val="0"/>
        </w:rPr>
        <w:t xml:space="preserve"> single-symbol</w:t>
      </w:r>
      <w:r w:rsidR="00FE79E3">
        <w:rPr>
          <w:b w:val="0"/>
          <w:bCs w:val="0"/>
        </w:rPr>
        <w:t xml:space="preserve"> DMRS with 3 additional symbols. The DMRS symbols that are shaded in orange are transmitted from RRH1, whereas the DMRS symbols shaded in green are transmitted from RRH2, where the aggregate of both DMRS symbol transmission constitutes a conventional DMRS configuration</w:t>
      </w:r>
      <w:r w:rsidR="00F33265">
        <w:rPr>
          <w:b w:val="0"/>
          <w:bCs w:val="0"/>
        </w:rPr>
        <w:t xml:space="preserve"> under SFN</w:t>
      </w:r>
      <w:r w:rsidR="00FE79E3">
        <w:rPr>
          <w:b w:val="0"/>
          <w:bCs w:val="0"/>
        </w:rPr>
        <w:t>.</w:t>
      </w:r>
      <w:r w:rsidR="00F33265">
        <w:rPr>
          <w:b w:val="0"/>
          <w:bCs w:val="0"/>
        </w:rPr>
        <w:t xml:space="preserve"> Note that each of the sets of the DMRS symbols correspond to one of the two TRSs transmitted, from which the QCL relationship is inferred from </w:t>
      </w:r>
      <w:r w:rsidR="001D5D15">
        <w:rPr>
          <w:b w:val="0"/>
          <w:bCs w:val="0"/>
        </w:rPr>
        <w:t xml:space="preserve">each of </w:t>
      </w:r>
      <w:r w:rsidR="00F33265">
        <w:rPr>
          <w:b w:val="0"/>
          <w:bCs w:val="0"/>
        </w:rPr>
        <w:t>the TCI states.</w:t>
      </w:r>
      <w:r w:rsidR="00FE79E3">
        <w:rPr>
          <w:b w:val="0"/>
          <w:bCs w:val="0"/>
        </w:rPr>
        <w:t xml:space="preserve"> </w:t>
      </w:r>
    </w:p>
    <w:p w14:paraId="5EF262AB" w14:textId="77777777" w:rsidR="00F33265" w:rsidRPr="00F33265" w:rsidRDefault="00F33265" w:rsidP="00F33265">
      <w:pPr>
        <w:pStyle w:val="Observation"/>
        <w:numPr>
          <w:ilvl w:val="0"/>
          <w:numId w:val="0"/>
        </w:numPr>
        <w:spacing w:after="0" w:line="276" w:lineRule="auto"/>
        <w:rPr>
          <w:rFonts w:eastAsiaTheme="minorEastAsia"/>
        </w:rPr>
      </w:pPr>
    </w:p>
    <w:p w14:paraId="043922DC" w14:textId="2DC540C5" w:rsidR="00FE79E3" w:rsidRPr="000B0639" w:rsidRDefault="00FE79E3" w:rsidP="00FE79E3">
      <w:pPr>
        <w:pStyle w:val="Observation"/>
        <w:numPr>
          <w:ilvl w:val="0"/>
          <w:numId w:val="0"/>
        </w:numPr>
        <w:jc w:val="center"/>
        <w:rPr>
          <w:b w:val="0"/>
          <w:bCs w:val="0"/>
        </w:rPr>
      </w:pPr>
      <w:r>
        <w:rPr>
          <w:b w:val="0"/>
          <w:bCs w:val="0"/>
          <w:noProof/>
        </w:rPr>
        <w:drawing>
          <wp:inline distT="0" distB="0" distL="0" distR="0" wp14:anchorId="31170894" wp14:editId="6B59E513">
            <wp:extent cx="3427945" cy="227647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21768" cy="2338782"/>
                    </a:xfrm>
                    <a:prstGeom prst="rect">
                      <a:avLst/>
                    </a:prstGeom>
                    <a:noFill/>
                    <a:ln>
                      <a:noFill/>
                    </a:ln>
                  </pic:spPr>
                </pic:pic>
              </a:graphicData>
            </a:graphic>
          </wp:inline>
        </w:drawing>
      </w:r>
    </w:p>
    <w:p w14:paraId="250CBB95" w14:textId="7438C8A8" w:rsidR="0078400A" w:rsidRDefault="00FE79E3" w:rsidP="00FE79E3">
      <w:pPr>
        <w:pStyle w:val="Caption"/>
        <w:rPr>
          <w:b w:val="0"/>
          <w:bCs w:val="0"/>
        </w:rPr>
      </w:pPr>
      <w:bookmarkStart w:id="7" w:name="_Ref47553805"/>
      <w:r w:rsidRPr="00FE79E3">
        <w:rPr>
          <w:b w:val="0"/>
          <w:bCs w:val="0"/>
        </w:rPr>
        <w:t xml:space="preserve">Figure </w:t>
      </w:r>
      <w:r w:rsidRPr="00FE79E3">
        <w:rPr>
          <w:b w:val="0"/>
          <w:bCs w:val="0"/>
        </w:rPr>
        <w:fldChar w:fldCharType="begin"/>
      </w:r>
      <w:r w:rsidRPr="00FE79E3">
        <w:rPr>
          <w:b w:val="0"/>
          <w:bCs w:val="0"/>
        </w:rPr>
        <w:instrText xml:space="preserve"> SEQ Figure \* ARABIC </w:instrText>
      </w:r>
      <w:r w:rsidRPr="00FE79E3">
        <w:rPr>
          <w:b w:val="0"/>
          <w:bCs w:val="0"/>
        </w:rPr>
        <w:fldChar w:fldCharType="separate"/>
      </w:r>
      <w:r w:rsidR="009179B6">
        <w:rPr>
          <w:b w:val="0"/>
          <w:bCs w:val="0"/>
          <w:noProof/>
        </w:rPr>
        <w:t>5</w:t>
      </w:r>
      <w:r w:rsidRPr="00FE79E3">
        <w:rPr>
          <w:b w:val="0"/>
          <w:bCs w:val="0"/>
        </w:rPr>
        <w:fldChar w:fldCharType="end"/>
      </w:r>
      <w:bookmarkEnd w:id="7"/>
      <w:r w:rsidRPr="00FE79E3">
        <w:rPr>
          <w:b w:val="0"/>
          <w:bCs w:val="0"/>
        </w:rPr>
        <w:t>: Example of a DMRS pattern for a front loaded</w:t>
      </w:r>
      <w:r w:rsidR="003A1A35">
        <w:rPr>
          <w:b w:val="0"/>
          <w:bCs w:val="0"/>
        </w:rPr>
        <w:t xml:space="preserve"> single-symbol</w:t>
      </w:r>
      <w:r w:rsidRPr="00FE79E3">
        <w:rPr>
          <w:b w:val="0"/>
          <w:bCs w:val="0"/>
        </w:rPr>
        <w:t xml:space="preserve"> DMRS with 3 additional symbols</w:t>
      </w:r>
    </w:p>
    <w:p w14:paraId="1065FB80" w14:textId="4176B9A9" w:rsidR="00F33265" w:rsidRDefault="00F33265" w:rsidP="008F2A09">
      <w:pPr>
        <w:pStyle w:val="Observation"/>
        <w:spacing w:line="276" w:lineRule="auto"/>
        <w:ind w:left="1699" w:hanging="1699"/>
        <w:rPr>
          <w:rFonts w:eastAsiaTheme="minorEastAsia"/>
        </w:rPr>
      </w:pPr>
      <w:r>
        <w:lastRenderedPageBreak/>
        <w:t xml:space="preserve">The channels from both RRHs can be estimated from one PDSCH DMRS via partitioning the DMRS symbols into two sets to be transmitted from </w:t>
      </w:r>
      <w:r w:rsidR="001D5D15">
        <w:t xml:space="preserve">each </w:t>
      </w:r>
      <w:r>
        <w:t>RRH in a predefined manner</w:t>
      </w:r>
      <w:r w:rsidRPr="000B0639">
        <w:t>.</w:t>
      </w:r>
    </w:p>
    <w:p w14:paraId="3B0B59A4" w14:textId="4BF0C337" w:rsidR="00B97722" w:rsidRDefault="00B97722" w:rsidP="00B97722">
      <w:pPr>
        <w:pStyle w:val="Proposal"/>
        <w:numPr>
          <w:ilvl w:val="0"/>
          <w:numId w:val="14"/>
        </w:numPr>
        <w:tabs>
          <w:tab w:val="clear" w:pos="2024"/>
        </w:tabs>
        <w:ind w:left="1701" w:hanging="1701"/>
        <w:textAlignment w:val="auto"/>
      </w:pPr>
      <w:r>
        <w:t xml:space="preserve">Partition the DMRS symbols into two disjoint sets, each transmitted from a separate RRH, where the DMRS symbols of each set are </w:t>
      </w:r>
      <w:proofErr w:type="spellStart"/>
      <w:r>
        <w:t>QCLed</w:t>
      </w:r>
      <w:proofErr w:type="spellEnd"/>
      <w:r>
        <w:t xml:space="preserve"> with one of the two TRSs transmitted, and the QCL relationship is indicated via each of the TCI states referenced by the TCI codepoint in the DCI.</w:t>
      </w:r>
    </w:p>
    <w:p w14:paraId="5E0BA81E" w14:textId="76B113A8" w:rsidR="002651B0" w:rsidRDefault="001A2585" w:rsidP="007B31B3">
      <w:pPr>
        <w:pStyle w:val="Observation"/>
        <w:numPr>
          <w:ilvl w:val="0"/>
          <w:numId w:val="0"/>
        </w:numPr>
        <w:spacing w:line="276" w:lineRule="auto"/>
        <w:rPr>
          <w:b w:val="0"/>
          <w:bCs w:val="0"/>
        </w:rPr>
      </w:pPr>
      <w:r w:rsidRPr="001A2585">
        <w:rPr>
          <w:b w:val="0"/>
          <w:bCs w:val="0"/>
        </w:rPr>
        <w:t xml:space="preserve">Given the aforementioned deployment, the UE would be able to </w:t>
      </w:r>
      <w:r w:rsidR="001D5D15">
        <w:rPr>
          <w:b w:val="0"/>
          <w:bCs w:val="0"/>
        </w:rPr>
        <w:t>estimate individually</w:t>
      </w:r>
      <w:r w:rsidR="001D5D15" w:rsidRPr="001A2585">
        <w:rPr>
          <w:b w:val="0"/>
          <w:bCs w:val="0"/>
        </w:rPr>
        <w:t xml:space="preserve"> </w:t>
      </w:r>
      <w:r w:rsidRPr="001A2585">
        <w:rPr>
          <w:b w:val="0"/>
          <w:bCs w:val="0"/>
        </w:rPr>
        <w:t xml:space="preserve">both </w:t>
      </w:r>
      <w:r w:rsidRPr="001A2585">
        <w:rPr>
          <w:b w:val="0"/>
          <w:bCs w:val="0"/>
          <w:i/>
          <w:iCs/>
        </w:rPr>
        <w:t>H</w:t>
      </w:r>
      <w:r w:rsidRPr="001A2585">
        <w:rPr>
          <w:b w:val="0"/>
          <w:bCs w:val="0"/>
          <w:i/>
          <w:iCs/>
          <w:vertAlign w:val="subscript"/>
        </w:rPr>
        <w:t>1</w:t>
      </w:r>
      <w:r w:rsidRPr="001A2585">
        <w:rPr>
          <w:b w:val="0"/>
          <w:bCs w:val="0"/>
        </w:rPr>
        <w:t xml:space="preserve"> and </w:t>
      </w:r>
      <w:r w:rsidRPr="001A2585">
        <w:rPr>
          <w:b w:val="0"/>
          <w:bCs w:val="0"/>
          <w:i/>
          <w:iCs/>
        </w:rPr>
        <w:t>H</w:t>
      </w:r>
      <w:r w:rsidRPr="001A2585">
        <w:rPr>
          <w:b w:val="0"/>
          <w:bCs w:val="0"/>
          <w:i/>
          <w:iCs/>
          <w:vertAlign w:val="subscript"/>
        </w:rPr>
        <w:t>2</w:t>
      </w:r>
      <w:r w:rsidRPr="001A2585">
        <w:rPr>
          <w:b w:val="0"/>
          <w:bCs w:val="0"/>
        </w:rPr>
        <w:t xml:space="preserve"> (with possibly less precision due to the DMRS symbols partitioning)</w:t>
      </w:r>
      <w:r w:rsidR="001D5D15">
        <w:rPr>
          <w:b w:val="0"/>
          <w:bCs w:val="0"/>
        </w:rPr>
        <w:t xml:space="preserve"> and </w:t>
      </w:r>
      <w:r w:rsidR="00EA7095">
        <w:rPr>
          <w:b w:val="0"/>
          <w:bCs w:val="0"/>
        </w:rPr>
        <w:t>re-create</w:t>
      </w:r>
      <w:r w:rsidR="001D5D15">
        <w:rPr>
          <w:b w:val="0"/>
          <w:bCs w:val="0"/>
        </w:rPr>
        <w:t xml:space="preserve"> the aggregate </w:t>
      </w:r>
      <w:r w:rsidR="001D5D15" w:rsidRPr="001A2585">
        <w:rPr>
          <w:b w:val="0"/>
          <w:bCs w:val="0"/>
          <w:i/>
          <w:iCs/>
        </w:rPr>
        <w:t>H</w:t>
      </w:r>
      <w:r w:rsidR="001D5D15" w:rsidRPr="001A2585">
        <w:rPr>
          <w:b w:val="0"/>
          <w:bCs w:val="0"/>
          <w:i/>
          <w:iCs/>
          <w:vertAlign w:val="subscript"/>
        </w:rPr>
        <w:t>1</w:t>
      </w:r>
      <w:r w:rsidR="001D5D15">
        <w:rPr>
          <w:b w:val="0"/>
          <w:bCs w:val="0"/>
        </w:rPr>
        <w:t>+</w:t>
      </w:r>
      <w:r w:rsidR="001D5D15" w:rsidRPr="001A2585">
        <w:rPr>
          <w:b w:val="0"/>
          <w:bCs w:val="0"/>
          <w:i/>
          <w:iCs/>
        </w:rPr>
        <w:t>H</w:t>
      </w:r>
      <w:r w:rsidR="001D5D15" w:rsidRPr="001A2585">
        <w:rPr>
          <w:b w:val="0"/>
          <w:bCs w:val="0"/>
          <w:i/>
          <w:iCs/>
          <w:vertAlign w:val="subscript"/>
        </w:rPr>
        <w:t>2</w:t>
      </w:r>
      <w:r w:rsidR="001D5D15">
        <w:rPr>
          <w:b w:val="0"/>
          <w:bCs w:val="0"/>
        </w:rPr>
        <w:t xml:space="preserve"> channel for de</w:t>
      </w:r>
      <w:r w:rsidR="00EA7095">
        <w:rPr>
          <w:b w:val="0"/>
          <w:bCs w:val="0"/>
        </w:rPr>
        <w:t>modulating the SFN PDSCH transmission</w:t>
      </w:r>
      <w:r>
        <w:rPr>
          <w:b w:val="0"/>
          <w:bCs w:val="0"/>
        </w:rPr>
        <w:t xml:space="preserve">. </w:t>
      </w:r>
    </w:p>
    <w:p w14:paraId="5F2B3807" w14:textId="270C4653" w:rsidR="007B31B3" w:rsidRDefault="003A1A35" w:rsidP="007B31B3">
      <w:pPr>
        <w:spacing w:line="276" w:lineRule="auto"/>
        <w:rPr>
          <w:bCs/>
          <w:iCs/>
        </w:rPr>
      </w:pPr>
      <w:r>
        <w:rPr>
          <w:bCs/>
          <w:iCs/>
        </w:rPr>
        <w:t>Note that a</w:t>
      </w:r>
      <w:r w:rsidR="007B31B3">
        <w:rPr>
          <w:bCs/>
          <w:iCs/>
        </w:rPr>
        <w:t>nother perspective</w:t>
      </w:r>
      <w:r>
        <w:rPr>
          <w:bCs/>
          <w:iCs/>
        </w:rPr>
        <w:t xml:space="preserve"> for the problem should be carefully considered. I</w:t>
      </w:r>
      <w:r w:rsidR="007B31B3">
        <w:rPr>
          <w:bCs/>
          <w:iCs/>
        </w:rPr>
        <w:t xml:space="preserve">t is clear from </w:t>
      </w:r>
      <w:r w:rsidR="007B31B3">
        <w:rPr>
          <w:bCs/>
          <w:iCs/>
        </w:rPr>
        <w:fldChar w:fldCharType="begin"/>
      </w:r>
      <w:r w:rsidR="007B31B3">
        <w:rPr>
          <w:bCs/>
          <w:iCs/>
        </w:rPr>
        <w:instrText xml:space="preserve"> REF _Ref47237173 \h </w:instrText>
      </w:r>
      <w:r w:rsidR="007B31B3">
        <w:rPr>
          <w:bCs/>
          <w:iCs/>
        </w:rPr>
      </w:r>
      <w:r w:rsidR="007B31B3">
        <w:rPr>
          <w:bCs/>
          <w:iCs/>
        </w:rPr>
        <w:fldChar w:fldCharType="separate"/>
      </w:r>
      <w:r w:rsidR="007B31B3">
        <w:t xml:space="preserve">Table </w:t>
      </w:r>
      <w:r w:rsidR="007B31B3">
        <w:rPr>
          <w:noProof/>
        </w:rPr>
        <w:t>1</w:t>
      </w:r>
      <w:r w:rsidR="007B31B3">
        <w:rPr>
          <w:bCs/>
          <w:iCs/>
        </w:rPr>
        <w:fldChar w:fldCharType="end"/>
      </w:r>
      <w:r w:rsidR="007B31B3">
        <w:rPr>
          <w:bCs/>
          <w:iCs/>
        </w:rPr>
        <w:t xml:space="preserve"> that the effect of high mobility takes a heavier toll on a UE in FR2 than in FR1. When the Doppler spread is relatively small, neighboring RRHs</w:t>
      </w:r>
      <w:r w:rsidR="007B31B3" w:rsidRPr="002C2310">
        <w:rPr>
          <w:bCs/>
          <w:iCs/>
        </w:rPr>
        <w:t xml:space="preserve"> </w:t>
      </w:r>
      <w:r w:rsidR="007B31B3">
        <w:rPr>
          <w:bCs/>
          <w:iCs/>
        </w:rPr>
        <w:t>may transmit separate TRSs for the UE to estimate the channels to these RRHs and transmit the DMRS in SFN manner. Two TCI states may be assigned to the DMRS in this case. When the Doppler spread gets larger, especially in FR2 where the Doppler spread reaches almost a quarter (23%) of the subcarrier spacing, the performance of DMRS mapped to two TCI states need to be carefully evaluated. If the performance of DMRS degrades with Doppler spread beyond a reasonable range, it may be necessary to have separate DMRS ports transmitted from the RRHs. Two TCI states will apply to two subsets of DMRS ports transmitted in different CDM groups, similar to R</w:t>
      </w:r>
      <w:r w:rsidR="008F2A09">
        <w:rPr>
          <w:bCs/>
          <w:iCs/>
        </w:rPr>
        <w:t xml:space="preserve">el. </w:t>
      </w:r>
      <w:r w:rsidR="007B31B3">
        <w:rPr>
          <w:bCs/>
          <w:iCs/>
        </w:rPr>
        <w:t xml:space="preserve">16 single-DCI multi-TRP PDSCH transmission. How two TCI states can be applied to the DMRS ports needs careful evaluation under different carrier frequency and mobility assumptions. </w:t>
      </w:r>
    </w:p>
    <w:p w14:paraId="254D9A59" w14:textId="762DFE7E" w:rsidR="007B31B3" w:rsidRDefault="007B31B3" w:rsidP="008F2A09">
      <w:pPr>
        <w:pStyle w:val="Observation"/>
        <w:spacing w:line="276" w:lineRule="auto"/>
        <w:ind w:left="1699" w:hanging="1699"/>
        <w:rPr>
          <w:rFonts w:eastAsiaTheme="minorEastAsia"/>
        </w:rPr>
      </w:pPr>
      <w:r w:rsidRPr="007B31B3">
        <w:t>How two TCI states are applied to the DMRS port</w:t>
      </w:r>
      <w:r>
        <w:t>(</w:t>
      </w:r>
      <w:r w:rsidRPr="007B31B3">
        <w:t>s</w:t>
      </w:r>
      <w:r>
        <w:t>)</w:t>
      </w:r>
      <w:r w:rsidRPr="007B31B3">
        <w:t xml:space="preserve"> needs detailed evaluation</w:t>
      </w:r>
      <w:r w:rsidRPr="000B0639">
        <w:t>.</w:t>
      </w:r>
    </w:p>
    <w:p w14:paraId="20C491A0" w14:textId="51060BAF" w:rsidR="002651B0" w:rsidRPr="00AD4CC2" w:rsidRDefault="002651B0" w:rsidP="007B31B3">
      <w:pPr>
        <w:spacing w:line="276" w:lineRule="auto"/>
        <w:rPr>
          <w:b/>
          <w:bCs/>
          <w:i/>
          <w:iCs/>
        </w:rPr>
      </w:pPr>
      <w:r>
        <w:rPr>
          <w:bCs/>
          <w:iCs/>
        </w:rPr>
        <w:t>Note that having two TCI states being applied to the same set of DMRS</w:t>
      </w:r>
      <w:r w:rsidR="003A1A35">
        <w:rPr>
          <w:bCs/>
          <w:iCs/>
        </w:rPr>
        <w:t xml:space="preserve"> port</w:t>
      </w:r>
      <w:r>
        <w:rPr>
          <w:bCs/>
          <w:iCs/>
        </w:rPr>
        <w:t xml:space="preserve">(s) leads to a new </w:t>
      </w:r>
      <w:r w:rsidR="004E6D60">
        <w:rPr>
          <w:bCs/>
          <w:iCs/>
        </w:rPr>
        <w:t>configuration</w:t>
      </w:r>
      <w:r>
        <w:rPr>
          <w:bCs/>
          <w:iCs/>
        </w:rPr>
        <w:t xml:space="preserve"> of PDSCH</w:t>
      </w:r>
      <w:r w:rsidR="004E6D60">
        <w:rPr>
          <w:bCs/>
          <w:iCs/>
        </w:rPr>
        <w:t xml:space="preserve"> </w:t>
      </w:r>
      <w:r>
        <w:rPr>
          <w:bCs/>
          <w:iCs/>
        </w:rPr>
        <w:t>transmission, which differs from the Rel. 16 single-DCI multi-TRP transmission where the two TCI states apply to separate DMRS CDM groups. Additional details regarding the DCI format, the CSI configuration, measurement and feedback, and the PDSCH transmission need to be addressed. Although CSI reporting enhancements for multi-TRP in Rel. 17 are being developed in a separate AI (8.1.4), it should incorporate the HST-SFN case as well.</w:t>
      </w:r>
    </w:p>
    <w:p w14:paraId="04907106" w14:textId="0D42FBEA" w:rsidR="001A2585" w:rsidRPr="00B97722" w:rsidRDefault="00B97722" w:rsidP="00B97722">
      <w:pPr>
        <w:pStyle w:val="Proposal"/>
        <w:numPr>
          <w:ilvl w:val="0"/>
          <w:numId w:val="14"/>
        </w:numPr>
        <w:tabs>
          <w:tab w:val="clear" w:pos="2024"/>
        </w:tabs>
        <w:ind w:left="1701" w:hanging="1701"/>
        <w:textAlignment w:val="auto"/>
      </w:pPr>
      <w:r w:rsidRPr="00B140BD">
        <w:t xml:space="preserve">A new PDSCH transmission </w:t>
      </w:r>
      <w:r>
        <w:t>configuration</w:t>
      </w:r>
      <w:r w:rsidRPr="00B140BD">
        <w:t xml:space="preserve"> needs to be defined based on R</w:t>
      </w:r>
      <w:r>
        <w:t xml:space="preserve">el. </w:t>
      </w:r>
      <w:r w:rsidRPr="00B140BD">
        <w:t>16 single-DCI multi-TRP PDSCH transmission of R</w:t>
      </w:r>
      <w:r>
        <w:t xml:space="preserve">el. </w:t>
      </w:r>
      <w:r w:rsidRPr="00B140BD">
        <w:t>16, including remaining details of the DCI format, CSI configuration and feedback, and PDSCH transmission.</w:t>
      </w:r>
    </w:p>
    <w:p w14:paraId="3E333E0B" w14:textId="176FDD73" w:rsidR="00B35455" w:rsidRPr="000B0639" w:rsidRDefault="00B35455" w:rsidP="00B35455">
      <w:pPr>
        <w:pStyle w:val="Heading1"/>
        <w:rPr>
          <w:lang w:val="en-US"/>
        </w:rPr>
      </w:pPr>
      <w:r w:rsidRPr="000B0639">
        <w:rPr>
          <w:lang w:val="en-US"/>
        </w:rPr>
        <w:t>Conclusion</w:t>
      </w:r>
    </w:p>
    <w:p w14:paraId="2F697C9B" w14:textId="343A312A" w:rsidR="004F459C" w:rsidRDefault="00EE322E" w:rsidP="00A77679">
      <w:r>
        <w:t>This contribution addressed HST-SFN enhancements for NR Rel. 17, including the Doppler spread issue, remaining issues on simulation assumptions and proposals addressing the TCI framework for HST SFN. We have the following observations:</w:t>
      </w:r>
    </w:p>
    <w:p w14:paraId="40A0D158" w14:textId="76AB4283" w:rsidR="00F400D9" w:rsidRPr="00F400D9" w:rsidRDefault="00F400D9" w:rsidP="007B31B3">
      <w:pPr>
        <w:pStyle w:val="Observation"/>
        <w:numPr>
          <w:ilvl w:val="0"/>
          <w:numId w:val="16"/>
        </w:numPr>
        <w:spacing w:line="276" w:lineRule="auto"/>
        <w:ind w:left="1699" w:hanging="1699"/>
        <w:rPr>
          <w:rFonts w:eastAsiaTheme="minorEastAsia"/>
        </w:rPr>
      </w:pPr>
      <w:r w:rsidRPr="000B0639">
        <w:t>Conventional HST SFN deployment may lead to performance degradation at high speeds</w:t>
      </w:r>
      <w:r>
        <w:t xml:space="preserve"> due to the difficulty of tracking the time-varying channels from multiple RRHs</w:t>
      </w:r>
      <w:r w:rsidRPr="000B0639">
        <w:t>.</w:t>
      </w:r>
    </w:p>
    <w:p w14:paraId="23239679" w14:textId="6659B594" w:rsidR="00F400D9" w:rsidRPr="00F400D9" w:rsidRDefault="00F400D9" w:rsidP="007B31B3">
      <w:pPr>
        <w:pStyle w:val="Observation"/>
        <w:numPr>
          <w:ilvl w:val="0"/>
          <w:numId w:val="16"/>
        </w:numPr>
        <w:spacing w:line="276" w:lineRule="auto"/>
        <w:ind w:left="1699" w:hanging="1699"/>
        <w:rPr>
          <w:rFonts w:eastAsiaTheme="minorEastAsia"/>
        </w:rPr>
      </w:pPr>
      <w:r w:rsidRPr="000B0639">
        <w:t>Addressing HST-SFN solutions for FR1 and FR2 simultaneously may be challenging due to the key differences in channel model and potentially different solutions to the problem</w:t>
      </w:r>
      <w:r>
        <w:t>.</w:t>
      </w:r>
    </w:p>
    <w:p w14:paraId="1A97E41B" w14:textId="6E822D28" w:rsidR="00F400D9" w:rsidRPr="00EE322E" w:rsidRDefault="00EE322E" w:rsidP="007B31B3">
      <w:pPr>
        <w:pStyle w:val="Observation"/>
        <w:numPr>
          <w:ilvl w:val="0"/>
          <w:numId w:val="16"/>
        </w:numPr>
        <w:spacing w:line="276" w:lineRule="auto"/>
        <w:ind w:left="1699" w:hanging="1699"/>
        <w:rPr>
          <w:rFonts w:eastAsiaTheme="minorEastAsia"/>
        </w:rPr>
      </w:pPr>
      <w:r>
        <w:t>Deployments with unidirectional antennas at the RRHs incur small Doppler spread values compared with deployments with bi-directional antennas at the RRHs.</w:t>
      </w:r>
    </w:p>
    <w:p w14:paraId="130B4574" w14:textId="19516197" w:rsidR="00EE322E" w:rsidRPr="00EE322E" w:rsidRDefault="00EE322E" w:rsidP="007B31B3">
      <w:pPr>
        <w:pStyle w:val="Observation"/>
        <w:numPr>
          <w:ilvl w:val="0"/>
          <w:numId w:val="16"/>
        </w:numPr>
        <w:spacing w:line="276" w:lineRule="auto"/>
        <w:ind w:left="1699" w:hanging="1699"/>
        <w:rPr>
          <w:rFonts w:eastAsiaTheme="minorEastAsia"/>
        </w:rPr>
      </w:pPr>
      <w:r w:rsidRPr="000B0639">
        <w:t>Considering multiple optional features of the simulation may not be beneficial and would reduce the significance of simulation results, since it would be hard to trace the i</w:t>
      </w:r>
      <w:r>
        <w:t>m</w:t>
      </w:r>
      <w:r w:rsidRPr="000B0639">
        <w:t>pact of each feature separately</w:t>
      </w:r>
      <w:r>
        <w:t>.</w:t>
      </w:r>
    </w:p>
    <w:p w14:paraId="621997C6" w14:textId="3C72CB17" w:rsidR="00EE322E" w:rsidRPr="00EE322E" w:rsidRDefault="00EE322E" w:rsidP="007B31B3">
      <w:pPr>
        <w:pStyle w:val="Observation"/>
        <w:numPr>
          <w:ilvl w:val="0"/>
          <w:numId w:val="16"/>
        </w:numPr>
        <w:spacing w:line="276" w:lineRule="auto"/>
        <w:ind w:left="1699" w:hanging="1699"/>
        <w:rPr>
          <w:rFonts w:eastAsiaTheme="minorEastAsia"/>
        </w:rPr>
      </w:pPr>
      <w:r>
        <w:t>One TCI state would not suffice to indicate the Q</w:t>
      </w:r>
      <w:r w:rsidRPr="000B0639">
        <w:t>C</w:t>
      </w:r>
      <w:r>
        <w:t>L relationship between the two TRSs and the set of PDSCH DMRS port(s).</w:t>
      </w:r>
    </w:p>
    <w:p w14:paraId="1C88D6D5" w14:textId="2A2561ED" w:rsidR="00EE322E" w:rsidRPr="007B31B3" w:rsidRDefault="00EE322E" w:rsidP="007B31B3">
      <w:pPr>
        <w:pStyle w:val="Observation"/>
        <w:numPr>
          <w:ilvl w:val="0"/>
          <w:numId w:val="16"/>
        </w:numPr>
        <w:spacing w:line="276" w:lineRule="auto"/>
        <w:ind w:left="1699" w:hanging="1699"/>
        <w:rPr>
          <w:rFonts w:eastAsiaTheme="minorEastAsia"/>
        </w:rPr>
      </w:pPr>
      <w:r>
        <w:lastRenderedPageBreak/>
        <w:t>The channels from both RRHs can be estimated from one PDSCH DMRS via partitioning the DMRS symbols into two sets to be transmitted from each RRHs in a predefined manner.</w:t>
      </w:r>
    </w:p>
    <w:p w14:paraId="772A8E0C" w14:textId="6E62BB15" w:rsidR="007B31B3" w:rsidRPr="00EE322E" w:rsidRDefault="007B31B3" w:rsidP="007B31B3">
      <w:pPr>
        <w:pStyle w:val="Observation"/>
        <w:numPr>
          <w:ilvl w:val="0"/>
          <w:numId w:val="16"/>
        </w:numPr>
        <w:spacing w:line="276" w:lineRule="auto"/>
        <w:ind w:left="1699" w:hanging="1699"/>
        <w:rPr>
          <w:rFonts w:eastAsiaTheme="minorEastAsia"/>
        </w:rPr>
      </w:pPr>
      <w:r w:rsidRPr="007B31B3">
        <w:t>How two TCI states are applied to the DMRS port</w:t>
      </w:r>
      <w:r>
        <w:t>(</w:t>
      </w:r>
      <w:r w:rsidRPr="007B31B3">
        <w:t>s</w:t>
      </w:r>
      <w:r>
        <w:t>)</w:t>
      </w:r>
      <w:r w:rsidRPr="007B31B3">
        <w:t xml:space="preserve"> needs detailed evaluation</w:t>
      </w:r>
      <w:r>
        <w:t>.</w:t>
      </w:r>
    </w:p>
    <w:p w14:paraId="192FC769" w14:textId="2AA43703" w:rsidR="00F400D9" w:rsidRDefault="00EE322E" w:rsidP="00A77679">
      <w:r>
        <w:t>Based on the observations above, we have reached the following conclusions:</w:t>
      </w:r>
    </w:p>
    <w:p w14:paraId="3E566662" w14:textId="53ED4D25" w:rsidR="00EE322E" w:rsidRDefault="00EE322E" w:rsidP="00EE322E">
      <w:pPr>
        <w:pStyle w:val="Proposal"/>
        <w:numPr>
          <w:ilvl w:val="0"/>
          <w:numId w:val="17"/>
        </w:numPr>
        <w:tabs>
          <w:tab w:val="clear" w:pos="2024"/>
        </w:tabs>
        <w:ind w:left="1699" w:hanging="1699"/>
        <w:textAlignment w:val="auto"/>
      </w:pPr>
      <w:r w:rsidRPr="000B0639">
        <w:t>Prioritize HST-SFN deployment solutions for FR1</w:t>
      </w:r>
      <w:r>
        <w:t>.</w:t>
      </w:r>
    </w:p>
    <w:p w14:paraId="51B56F70" w14:textId="4F20FE91" w:rsidR="00EE322E" w:rsidRDefault="00EE322E" w:rsidP="00EE322E">
      <w:pPr>
        <w:pStyle w:val="Proposal"/>
        <w:numPr>
          <w:ilvl w:val="0"/>
          <w:numId w:val="17"/>
        </w:numPr>
        <w:tabs>
          <w:tab w:val="clear" w:pos="2024"/>
        </w:tabs>
        <w:ind w:left="1699" w:hanging="1699"/>
        <w:textAlignment w:val="auto"/>
      </w:pPr>
      <w:r>
        <w:t>The HST-SFN WI should focus on deployments with bi-directional antenna at RRHs.</w:t>
      </w:r>
    </w:p>
    <w:p w14:paraId="3FD2D50C" w14:textId="30981D0A" w:rsidR="00EE322E" w:rsidRDefault="00EE322E" w:rsidP="00EE322E">
      <w:pPr>
        <w:pStyle w:val="Proposal"/>
        <w:numPr>
          <w:ilvl w:val="0"/>
          <w:numId w:val="17"/>
        </w:numPr>
        <w:tabs>
          <w:tab w:val="clear" w:pos="2024"/>
        </w:tabs>
        <w:ind w:left="1699" w:hanging="1699"/>
        <w:textAlignment w:val="auto"/>
      </w:pPr>
      <w:r w:rsidRPr="000B0639">
        <w:t xml:space="preserve">Adopt a basic model for HST-SFN simulation, </w:t>
      </w:r>
      <w:r>
        <w:t xml:space="preserve">enhancing the model for specific deployments with </w:t>
      </w:r>
      <w:r w:rsidRPr="000B0639">
        <w:t>additional simulation results includ</w:t>
      </w:r>
      <w:r>
        <w:t>ing</w:t>
      </w:r>
      <w:r w:rsidRPr="000B0639">
        <w:t xml:space="preserve"> no more than one additional feature</w:t>
      </w:r>
      <w:r>
        <w:t>.</w:t>
      </w:r>
    </w:p>
    <w:p w14:paraId="569ED3DC" w14:textId="5EFE1A6B" w:rsidR="00EE322E" w:rsidRDefault="00EE322E" w:rsidP="00EE322E">
      <w:pPr>
        <w:pStyle w:val="Proposal"/>
        <w:numPr>
          <w:ilvl w:val="0"/>
          <w:numId w:val="17"/>
        </w:numPr>
        <w:tabs>
          <w:tab w:val="clear" w:pos="2024"/>
        </w:tabs>
        <w:ind w:left="1699" w:hanging="1699"/>
        <w:textAlignment w:val="auto"/>
      </w:pPr>
      <w:r w:rsidRPr="000B0639">
        <w:t>The</w:t>
      </w:r>
      <w:r>
        <w:t xml:space="preserve"> UE is configured with two TRSs, each corresponding to one of the two neighboring RRHs surrounding the UE. The UE would be able to estimate the Doppler shifts of the channels from both RRHs.</w:t>
      </w:r>
    </w:p>
    <w:p w14:paraId="55486797" w14:textId="0D5840D6" w:rsidR="00EE322E" w:rsidRDefault="00EE322E" w:rsidP="00EE322E">
      <w:pPr>
        <w:pStyle w:val="Proposal"/>
        <w:numPr>
          <w:ilvl w:val="0"/>
          <w:numId w:val="17"/>
        </w:numPr>
        <w:tabs>
          <w:tab w:val="clear" w:pos="2024"/>
        </w:tabs>
        <w:ind w:left="1699" w:hanging="1699"/>
        <w:textAlignment w:val="auto"/>
      </w:pPr>
      <w:r>
        <w:t>One TCI codepoint referring to two TCI states is needed to indicate the QCL relationship between the two TRSs and the set of PDSCH DMRS port(s).</w:t>
      </w:r>
    </w:p>
    <w:p w14:paraId="78DF3771" w14:textId="565F46C2" w:rsidR="00EE322E" w:rsidRDefault="00EE322E" w:rsidP="00EE322E">
      <w:pPr>
        <w:pStyle w:val="Proposal"/>
        <w:numPr>
          <w:ilvl w:val="0"/>
          <w:numId w:val="17"/>
        </w:numPr>
        <w:tabs>
          <w:tab w:val="clear" w:pos="2024"/>
        </w:tabs>
        <w:ind w:left="1699" w:hanging="1699"/>
        <w:textAlignment w:val="auto"/>
      </w:pPr>
      <w:r>
        <w:t xml:space="preserve">Partition the DMRS symbols into two disjoint sets, each transmitted from a separate RRH, where the DMRS symbols of each set are </w:t>
      </w:r>
      <w:proofErr w:type="spellStart"/>
      <w:r>
        <w:t>QCLed</w:t>
      </w:r>
      <w:proofErr w:type="spellEnd"/>
      <w:r>
        <w:t xml:space="preserve"> with one of the two TRSs transmitted, and the QCL relationship is indicated via each of the TCI states referenced by the TCI codepoint in the DCI.</w:t>
      </w:r>
    </w:p>
    <w:p w14:paraId="202A59A5" w14:textId="26D91E2C" w:rsidR="00EE322E" w:rsidRPr="000B0639" w:rsidRDefault="00232436" w:rsidP="00EE322E">
      <w:pPr>
        <w:pStyle w:val="Proposal"/>
        <w:numPr>
          <w:ilvl w:val="0"/>
          <w:numId w:val="17"/>
        </w:numPr>
        <w:tabs>
          <w:tab w:val="clear" w:pos="2024"/>
        </w:tabs>
        <w:ind w:left="1699" w:hanging="1699"/>
        <w:textAlignment w:val="auto"/>
      </w:pPr>
      <w:r w:rsidRPr="00B140BD">
        <w:t xml:space="preserve">A new PDSCH transmission </w:t>
      </w:r>
      <w:r>
        <w:t>configuration</w:t>
      </w:r>
      <w:r w:rsidRPr="00B140BD">
        <w:t xml:space="preserve"> needs to be defined based on R</w:t>
      </w:r>
      <w:r>
        <w:t xml:space="preserve">el. </w:t>
      </w:r>
      <w:r w:rsidRPr="00B140BD">
        <w:t>16 single-DCI multi-TRP PDSCH transmission of R</w:t>
      </w:r>
      <w:r>
        <w:t xml:space="preserve">el. </w:t>
      </w:r>
      <w:r w:rsidRPr="00B140BD">
        <w:t>16, including remaining details of the DCI format, CSI configuration and feedback, and PDSCH transmission</w:t>
      </w:r>
      <w:r>
        <w:t>.</w:t>
      </w:r>
    </w:p>
    <w:sdt>
      <w:sdtPr>
        <w:rPr>
          <w:rFonts w:ascii="Times New Roman" w:hAnsi="Times New Roman" w:cs="Times New Roman"/>
          <w:sz w:val="20"/>
          <w:szCs w:val="20"/>
          <w:lang w:val="en-US"/>
        </w:rPr>
        <w:id w:val="1329636538"/>
        <w:docPartObj>
          <w:docPartGallery w:val="Bibliographies"/>
          <w:docPartUnique/>
        </w:docPartObj>
      </w:sdtPr>
      <w:sdtEndPr/>
      <w:sdtContent>
        <w:p w14:paraId="3DE27605" w14:textId="06D71636" w:rsidR="002B4189" w:rsidRPr="000B0639" w:rsidRDefault="002B4189">
          <w:pPr>
            <w:pStyle w:val="Heading1"/>
            <w:rPr>
              <w:lang w:val="en-US"/>
            </w:rPr>
          </w:pPr>
          <w:r w:rsidRPr="000B0639">
            <w:rPr>
              <w:lang w:val="en-US"/>
            </w:rPr>
            <w:t>References</w:t>
          </w:r>
        </w:p>
        <w:sdt>
          <w:sdtPr>
            <w:id w:val="-573587230"/>
            <w:bibliography/>
          </w:sdtPr>
          <w:sdtEndPr/>
          <w:sdtContent>
            <w:p w14:paraId="1B0C5ECD" w14:textId="77777777" w:rsidR="00802B82" w:rsidRDefault="002B4189" w:rsidP="00B215EB">
              <w:pPr>
                <w:rPr>
                  <w:rFonts w:asciiTheme="minorHAnsi" w:eastAsiaTheme="minorHAnsi" w:hAnsiTheme="minorHAnsi" w:cstheme="minorBidi"/>
                  <w:noProof/>
                  <w:sz w:val="22"/>
                  <w:szCs w:val="22"/>
                  <w:lang w:eastAsia="en-US"/>
                </w:rPr>
              </w:pPr>
              <w:r w:rsidRPr="000B0639">
                <w:fldChar w:fldCharType="begin"/>
              </w:r>
              <w:r w:rsidRPr="000B0639">
                <w:instrText xml:space="preserve"> BIBLIOGRAPHY </w:instrText>
              </w:r>
              <w:r w:rsidRPr="000B0639">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802B82" w14:paraId="600019C1" w14:textId="77777777">
                <w:trPr>
                  <w:divId w:val="1917667399"/>
                  <w:tblCellSpacing w:w="15" w:type="dxa"/>
                </w:trPr>
                <w:tc>
                  <w:tcPr>
                    <w:tcW w:w="50" w:type="pct"/>
                    <w:hideMark/>
                  </w:tcPr>
                  <w:p w14:paraId="74161AA3" w14:textId="083CAED9" w:rsidR="00802B82" w:rsidRDefault="00802B82">
                    <w:pPr>
                      <w:pStyle w:val="Bibliography"/>
                      <w:rPr>
                        <w:noProof/>
                        <w:sz w:val="24"/>
                        <w:szCs w:val="24"/>
                      </w:rPr>
                    </w:pPr>
                    <w:r>
                      <w:rPr>
                        <w:noProof/>
                      </w:rPr>
                      <w:t xml:space="preserve">[1] </w:t>
                    </w:r>
                  </w:p>
                </w:tc>
                <w:tc>
                  <w:tcPr>
                    <w:tcW w:w="0" w:type="auto"/>
                    <w:hideMark/>
                  </w:tcPr>
                  <w:p w14:paraId="0F08CF29" w14:textId="77777777" w:rsidR="00802B82" w:rsidRDefault="00802B82">
                    <w:pPr>
                      <w:pStyle w:val="Bibliography"/>
                      <w:rPr>
                        <w:noProof/>
                      </w:rPr>
                    </w:pPr>
                    <w:r>
                      <w:rPr>
                        <w:noProof/>
                      </w:rPr>
                      <w:t>RP-193133, Samsung, "Rel. 17 enhancements on MIMO for NR," Sitges, Spain, Dec. 9-12, 2019.</w:t>
                    </w:r>
                  </w:p>
                </w:tc>
              </w:tr>
              <w:tr w:rsidR="00802B82" w14:paraId="0B98D377" w14:textId="77777777">
                <w:trPr>
                  <w:divId w:val="1917667399"/>
                  <w:tblCellSpacing w:w="15" w:type="dxa"/>
                </w:trPr>
                <w:tc>
                  <w:tcPr>
                    <w:tcW w:w="50" w:type="pct"/>
                    <w:hideMark/>
                  </w:tcPr>
                  <w:p w14:paraId="7EE8F459" w14:textId="77777777" w:rsidR="00802B82" w:rsidRDefault="00802B82">
                    <w:pPr>
                      <w:pStyle w:val="Bibliography"/>
                      <w:rPr>
                        <w:noProof/>
                      </w:rPr>
                    </w:pPr>
                    <w:r>
                      <w:rPr>
                        <w:noProof/>
                      </w:rPr>
                      <w:t xml:space="preserve">[2] </w:t>
                    </w:r>
                  </w:p>
                </w:tc>
                <w:tc>
                  <w:tcPr>
                    <w:tcW w:w="0" w:type="auto"/>
                    <w:hideMark/>
                  </w:tcPr>
                  <w:p w14:paraId="49F30879" w14:textId="77777777" w:rsidR="00802B82" w:rsidRDefault="00802B82">
                    <w:pPr>
                      <w:pStyle w:val="Bibliography"/>
                      <w:rPr>
                        <w:noProof/>
                      </w:rPr>
                    </w:pPr>
                    <w:r>
                      <w:rPr>
                        <w:noProof/>
                      </w:rPr>
                      <w:t>3GPP E-UTRA TS 36.101, "User Equipment (UE) radio transmission and reception," June 2020.</w:t>
                    </w:r>
                  </w:p>
                </w:tc>
              </w:tr>
              <w:tr w:rsidR="00802B82" w14:paraId="0448C263" w14:textId="77777777">
                <w:trPr>
                  <w:divId w:val="1917667399"/>
                  <w:tblCellSpacing w:w="15" w:type="dxa"/>
                </w:trPr>
                <w:tc>
                  <w:tcPr>
                    <w:tcW w:w="50" w:type="pct"/>
                    <w:hideMark/>
                  </w:tcPr>
                  <w:p w14:paraId="00F536FA" w14:textId="77777777" w:rsidR="00802B82" w:rsidRDefault="00802B82">
                    <w:pPr>
                      <w:pStyle w:val="Bibliography"/>
                      <w:rPr>
                        <w:noProof/>
                      </w:rPr>
                    </w:pPr>
                    <w:r>
                      <w:rPr>
                        <w:noProof/>
                      </w:rPr>
                      <w:t xml:space="preserve">[3] </w:t>
                    </w:r>
                  </w:p>
                </w:tc>
                <w:tc>
                  <w:tcPr>
                    <w:tcW w:w="0" w:type="auto"/>
                    <w:hideMark/>
                  </w:tcPr>
                  <w:p w14:paraId="5A4AD7E1" w14:textId="77777777" w:rsidR="00802B82" w:rsidRDefault="00802B82">
                    <w:pPr>
                      <w:pStyle w:val="Bibliography"/>
                      <w:rPr>
                        <w:noProof/>
                      </w:rPr>
                    </w:pPr>
                    <w:r>
                      <w:rPr>
                        <w:noProof/>
                      </w:rPr>
                      <w:t>3GPP NR TS 38.101-4, "User Equipment (UE) radio transmission and reception; Part 4: Performance Requirements," June 2020.</w:t>
                    </w:r>
                  </w:p>
                </w:tc>
              </w:tr>
            </w:tbl>
            <w:p w14:paraId="6D6CED43" w14:textId="70F2C1D8" w:rsidR="00CE4524" w:rsidRPr="000B0639" w:rsidRDefault="002B4189" w:rsidP="00B215EB">
              <w:r w:rsidRPr="000B0639">
                <w:rPr>
                  <w:b/>
                  <w:bCs/>
                  <w:noProof/>
                </w:rPr>
                <w:fldChar w:fldCharType="end"/>
              </w:r>
              <w:r w:rsidR="00397330" w:rsidRPr="000B0639">
                <w:rPr>
                  <w:rFonts w:eastAsia="Malgun Gothic" w:cs="Batang"/>
                  <w:lang w:eastAsia="ko-KR"/>
                </w:rPr>
                <w:tab/>
              </w:r>
            </w:p>
          </w:sdtContent>
        </w:sdt>
      </w:sdtContent>
    </w:sdt>
    <w:sectPr w:rsidR="00CE4524" w:rsidRPr="000B0639" w:rsidSect="00C5265C">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0C73C" w14:textId="77777777" w:rsidR="00FF3050" w:rsidRDefault="00FF3050">
      <w:pPr>
        <w:spacing w:after="0"/>
      </w:pPr>
      <w:r>
        <w:separator/>
      </w:r>
    </w:p>
  </w:endnote>
  <w:endnote w:type="continuationSeparator" w:id="0">
    <w:p w14:paraId="2B588329" w14:textId="77777777" w:rsidR="00FF3050" w:rsidRDefault="00FF3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Ë¢çE¢®EcE¡Ë¢çE¢®Ec¢®¡×I¡Ë¢ç¡§I"/>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25DE7" w14:textId="0D392E4C" w:rsidR="00466866" w:rsidRDefault="00466866"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15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3B30B" w14:textId="77777777" w:rsidR="00FF3050" w:rsidRDefault="00FF3050">
      <w:pPr>
        <w:spacing w:after="0"/>
      </w:pPr>
      <w:r>
        <w:separator/>
      </w:r>
    </w:p>
  </w:footnote>
  <w:footnote w:type="continuationSeparator" w:id="0">
    <w:p w14:paraId="1D345435" w14:textId="77777777" w:rsidR="00FF3050" w:rsidRDefault="00FF30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E61A0" w14:textId="77777777" w:rsidR="00466866" w:rsidRDefault="0046686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2AC89C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E100B"/>
    <w:multiLevelType w:val="hybridMultilevel"/>
    <w:tmpl w:val="9B3AB0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15:restartNumberingAfterBreak="0">
    <w:nsid w:val="39A76904"/>
    <w:multiLevelType w:val="hybridMultilevel"/>
    <w:tmpl w:val="7EC4841E"/>
    <w:lvl w:ilvl="0" w:tplc="13F037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E570B0B8"/>
    <w:lvl w:ilvl="0" w:tplc="C200F7CC">
      <w:start w:val="1"/>
      <w:numFmt w:val="decimal"/>
      <w:pStyle w:val="Proposal"/>
      <w:lvlText w:val="Proposal %1"/>
      <w:lvlJc w:val="left"/>
      <w:pPr>
        <w:tabs>
          <w:tab w:val="num" w:pos="2024"/>
        </w:tabs>
        <w:ind w:left="202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0"/>
  </w:num>
  <w:num w:numId="4">
    <w:abstractNumId w:val="11"/>
  </w:num>
  <w:num w:numId="5">
    <w:abstractNumId w:val="10"/>
    <w:lvlOverride w:ilvl="0">
      <w:startOverride w:val="1"/>
    </w:lvlOverride>
  </w:num>
  <w:num w:numId="6">
    <w:abstractNumId w:val="4"/>
  </w:num>
  <w:num w:numId="7">
    <w:abstractNumId w:val="9"/>
  </w:num>
  <w:num w:numId="8">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abstractNumId w:val="8"/>
  </w:num>
  <w:num w:numId="10">
    <w:abstractNumId w:val="3"/>
  </w:num>
  <w:num w:numId="11">
    <w:abstractNumId w:val="2"/>
  </w:num>
  <w:num w:numId="12">
    <w:abstractNumId w:val="7"/>
  </w:num>
  <w:num w:numId="13">
    <w:abstractNumId w:val="5"/>
  </w:num>
  <w:num w:numId="14">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num>
  <w:num w:numId="16">
    <w:abstractNumId w:val="10"/>
    <w:lvlOverride w:ilvl="0">
      <w:startOverride w:val="1"/>
    </w:lvlOverride>
  </w:num>
  <w:num w:numId="17">
    <w:abstractNumId w:val="6"/>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20B"/>
    <w:rsid w:val="00005783"/>
    <w:rsid w:val="0001157E"/>
    <w:rsid w:val="0001171F"/>
    <w:rsid w:val="0001567F"/>
    <w:rsid w:val="000159C3"/>
    <w:rsid w:val="000165AC"/>
    <w:rsid w:val="00037334"/>
    <w:rsid w:val="00040EAF"/>
    <w:rsid w:val="00055ABE"/>
    <w:rsid w:val="00063FC4"/>
    <w:rsid w:val="000652C7"/>
    <w:rsid w:val="000660E0"/>
    <w:rsid w:val="00066DE0"/>
    <w:rsid w:val="00073399"/>
    <w:rsid w:val="00093E3E"/>
    <w:rsid w:val="00097A86"/>
    <w:rsid w:val="000A09E1"/>
    <w:rsid w:val="000A45C4"/>
    <w:rsid w:val="000A7484"/>
    <w:rsid w:val="000B0639"/>
    <w:rsid w:val="000B20D8"/>
    <w:rsid w:val="000C0858"/>
    <w:rsid w:val="000C223D"/>
    <w:rsid w:val="000C6D4C"/>
    <w:rsid w:val="000E2E0B"/>
    <w:rsid w:val="000F3673"/>
    <w:rsid w:val="000F3E9F"/>
    <w:rsid w:val="000F7A0B"/>
    <w:rsid w:val="00103AB9"/>
    <w:rsid w:val="001120D3"/>
    <w:rsid w:val="001217A0"/>
    <w:rsid w:val="00122660"/>
    <w:rsid w:val="001332BA"/>
    <w:rsid w:val="00134D78"/>
    <w:rsid w:val="00136C0E"/>
    <w:rsid w:val="0013746C"/>
    <w:rsid w:val="00142003"/>
    <w:rsid w:val="001469B7"/>
    <w:rsid w:val="001556E7"/>
    <w:rsid w:val="00156E34"/>
    <w:rsid w:val="00160B4B"/>
    <w:rsid w:val="001664D9"/>
    <w:rsid w:val="00175878"/>
    <w:rsid w:val="00184EDF"/>
    <w:rsid w:val="00185EEE"/>
    <w:rsid w:val="001A2585"/>
    <w:rsid w:val="001A3ADB"/>
    <w:rsid w:val="001A3DD0"/>
    <w:rsid w:val="001C3BB1"/>
    <w:rsid w:val="001D5D15"/>
    <w:rsid w:val="001E0376"/>
    <w:rsid w:val="001F64BB"/>
    <w:rsid w:val="00203559"/>
    <w:rsid w:val="00216860"/>
    <w:rsid w:val="002238E1"/>
    <w:rsid w:val="00224F76"/>
    <w:rsid w:val="00226052"/>
    <w:rsid w:val="00232436"/>
    <w:rsid w:val="0023503D"/>
    <w:rsid w:val="00237691"/>
    <w:rsid w:val="00245A4D"/>
    <w:rsid w:val="00245F3E"/>
    <w:rsid w:val="00247287"/>
    <w:rsid w:val="0025055A"/>
    <w:rsid w:val="00250F0F"/>
    <w:rsid w:val="00260F8B"/>
    <w:rsid w:val="002611BB"/>
    <w:rsid w:val="0026272E"/>
    <w:rsid w:val="002651B0"/>
    <w:rsid w:val="00267690"/>
    <w:rsid w:val="00274E82"/>
    <w:rsid w:val="00277767"/>
    <w:rsid w:val="00284463"/>
    <w:rsid w:val="00285386"/>
    <w:rsid w:val="00290A60"/>
    <w:rsid w:val="002A0517"/>
    <w:rsid w:val="002B4189"/>
    <w:rsid w:val="002C0CEE"/>
    <w:rsid w:val="002C574F"/>
    <w:rsid w:val="002D3732"/>
    <w:rsid w:val="002D7045"/>
    <w:rsid w:val="002E0F61"/>
    <w:rsid w:val="002E3302"/>
    <w:rsid w:val="002F69C5"/>
    <w:rsid w:val="0031589C"/>
    <w:rsid w:val="00316E21"/>
    <w:rsid w:val="00322723"/>
    <w:rsid w:val="00334B8D"/>
    <w:rsid w:val="00347C74"/>
    <w:rsid w:val="0035335D"/>
    <w:rsid w:val="00362174"/>
    <w:rsid w:val="00363946"/>
    <w:rsid w:val="003779ED"/>
    <w:rsid w:val="00383FE7"/>
    <w:rsid w:val="00384774"/>
    <w:rsid w:val="00394BBA"/>
    <w:rsid w:val="00397330"/>
    <w:rsid w:val="003A1A35"/>
    <w:rsid w:val="003A7BC2"/>
    <w:rsid w:val="003B0384"/>
    <w:rsid w:val="003B2A91"/>
    <w:rsid w:val="003B45AA"/>
    <w:rsid w:val="003B5D8F"/>
    <w:rsid w:val="003B6230"/>
    <w:rsid w:val="003C2EAB"/>
    <w:rsid w:val="003C72D5"/>
    <w:rsid w:val="003D3636"/>
    <w:rsid w:val="003E3510"/>
    <w:rsid w:val="003F3533"/>
    <w:rsid w:val="003F3BBF"/>
    <w:rsid w:val="004020E5"/>
    <w:rsid w:val="00430A76"/>
    <w:rsid w:val="004401C6"/>
    <w:rsid w:val="004558F4"/>
    <w:rsid w:val="00466866"/>
    <w:rsid w:val="00471BCE"/>
    <w:rsid w:val="00473FC7"/>
    <w:rsid w:val="00484183"/>
    <w:rsid w:val="00485634"/>
    <w:rsid w:val="004934B5"/>
    <w:rsid w:val="004A5FC7"/>
    <w:rsid w:val="004B61B3"/>
    <w:rsid w:val="004D2995"/>
    <w:rsid w:val="004D395B"/>
    <w:rsid w:val="004D3F02"/>
    <w:rsid w:val="004D4676"/>
    <w:rsid w:val="004E667A"/>
    <w:rsid w:val="004E695F"/>
    <w:rsid w:val="004E6D60"/>
    <w:rsid w:val="004F302D"/>
    <w:rsid w:val="004F459C"/>
    <w:rsid w:val="00501F0F"/>
    <w:rsid w:val="00507E22"/>
    <w:rsid w:val="0052129B"/>
    <w:rsid w:val="005354CA"/>
    <w:rsid w:val="00537505"/>
    <w:rsid w:val="00560701"/>
    <w:rsid w:val="00572890"/>
    <w:rsid w:val="00572AA2"/>
    <w:rsid w:val="00582DA0"/>
    <w:rsid w:val="00583273"/>
    <w:rsid w:val="00595DA0"/>
    <w:rsid w:val="00597E24"/>
    <w:rsid w:val="005B2312"/>
    <w:rsid w:val="005C6CFA"/>
    <w:rsid w:val="005C6FA5"/>
    <w:rsid w:val="005D01D9"/>
    <w:rsid w:val="005D084D"/>
    <w:rsid w:val="005D1432"/>
    <w:rsid w:val="005D1A26"/>
    <w:rsid w:val="005D47AB"/>
    <w:rsid w:val="005D4E48"/>
    <w:rsid w:val="005E418D"/>
    <w:rsid w:val="005E4D4F"/>
    <w:rsid w:val="006008D9"/>
    <w:rsid w:val="00600FF5"/>
    <w:rsid w:val="00603373"/>
    <w:rsid w:val="00616891"/>
    <w:rsid w:val="00620B6D"/>
    <w:rsid w:val="006266AF"/>
    <w:rsid w:val="00633F86"/>
    <w:rsid w:val="00657E67"/>
    <w:rsid w:val="00657F9A"/>
    <w:rsid w:val="00661F97"/>
    <w:rsid w:val="006A2F74"/>
    <w:rsid w:val="006A4205"/>
    <w:rsid w:val="006B0295"/>
    <w:rsid w:val="006B6B2D"/>
    <w:rsid w:val="006C41D5"/>
    <w:rsid w:val="006C5D5B"/>
    <w:rsid w:val="006D0652"/>
    <w:rsid w:val="006D115E"/>
    <w:rsid w:val="006D3866"/>
    <w:rsid w:val="006D60CA"/>
    <w:rsid w:val="006E5352"/>
    <w:rsid w:val="006E5D5F"/>
    <w:rsid w:val="006F0DAE"/>
    <w:rsid w:val="006F215D"/>
    <w:rsid w:val="006F5F47"/>
    <w:rsid w:val="00704173"/>
    <w:rsid w:val="00707874"/>
    <w:rsid w:val="0072544A"/>
    <w:rsid w:val="007262AB"/>
    <w:rsid w:val="00730CA9"/>
    <w:rsid w:val="007430D3"/>
    <w:rsid w:val="00747FEF"/>
    <w:rsid w:val="00752681"/>
    <w:rsid w:val="0077354D"/>
    <w:rsid w:val="0078400A"/>
    <w:rsid w:val="00785851"/>
    <w:rsid w:val="00790234"/>
    <w:rsid w:val="0079671E"/>
    <w:rsid w:val="007A2CEB"/>
    <w:rsid w:val="007A6137"/>
    <w:rsid w:val="007A6254"/>
    <w:rsid w:val="007A7FFA"/>
    <w:rsid w:val="007B31B3"/>
    <w:rsid w:val="007B520E"/>
    <w:rsid w:val="007B61D0"/>
    <w:rsid w:val="007D2864"/>
    <w:rsid w:val="007E254B"/>
    <w:rsid w:val="007E6D3A"/>
    <w:rsid w:val="007E7776"/>
    <w:rsid w:val="007F41FE"/>
    <w:rsid w:val="007F7A86"/>
    <w:rsid w:val="007F7E4F"/>
    <w:rsid w:val="00802B82"/>
    <w:rsid w:val="0082058B"/>
    <w:rsid w:val="008215BC"/>
    <w:rsid w:val="00821B3B"/>
    <w:rsid w:val="008221D6"/>
    <w:rsid w:val="00830ECA"/>
    <w:rsid w:val="00844066"/>
    <w:rsid w:val="00847C0C"/>
    <w:rsid w:val="00850F7E"/>
    <w:rsid w:val="0085612A"/>
    <w:rsid w:val="00863AF7"/>
    <w:rsid w:val="008647ED"/>
    <w:rsid w:val="00866925"/>
    <w:rsid w:val="00877CC4"/>
    <w:rsid w:val="00880023"/>
    <w:rsid w:val="00881826"/>
    <w:rsid w:val="008A1A9E"/>
    <w:rsid w:val="008A35A8"/>
    <w:rsid w:val="008A4FF9"/>
    <w:rsid w:val="008B3683"/>
    <w:rsid w:val="008C45D7"/>
    <w:rsid w:val="008C4ED2"/>
    <w:rsid w:val="008E1980"/>
    <w:rsid w:val="008F2200"/>
    <w:rsid w:val="008F276C"/>
    <w:rsid w:val="008F2A09"/>
    <w:rsid w:val="00907308"/>
    <w:rsid w:val="009179B6"/>
    <w:rsid w:val="0093351C"/>
    <w:rsid w:val="0094269E"/>
    <w:rsid w:val="00963582"/>
    <w:rsid w:val="009673ED"/>
    <w:rsid w:val="009730BA"/>
    <w:rsid w:val="00973B4F"/>
    <w:rsid w:val="00983425"/>
    <w:rsid w:val="00990CB2"/>
    <w:rsid w:val="00994296"/>
    <w:rsid w:val="009948EB"/>
    <w:rsid w:val="009B1AC9"/>
    <w:rsid w:val="009D0D56"/>
    <w:rsid w:val="009D43A9"/>
    <w:rsid w:val="009D46D7"/>
    <w:rsid w:val="009D77E4"/>
    <w:rsid w:val="009E141A"/>
    <w:rsid w:val="009E784A"/>
    <w:rsid w:val="009F0399"/>
    <w:rsid w:val="009F16B5"/>
    <w:rsid w:val="009F6BFD"/>
    <w:rsid w:val="00A0707A"/>
    <w:rsid w:val="00A147F3"/>
    <w:rsid w:val="00A266F5"/>
    <w:rsid w:val="00A32F96"/>
    <w:rsid w:val="00A37354"/>
    <w:rsid w:val="00A404D0"/>
    <w:rsid w:val="00A4314E"/>
    <w:rsid w:val="00A53260"/>
    <w:rsid w:val="00A55301"/>
    <w:rsid w:val="00A73BCF"/>
    <w:rsid w:val="00A75474"/>
    <w:rsid w:val="00A77679"/>
    <w:rsid w:val="00A8090A"/>
    <w:rsid w:val="00A80C13"/>
    <w:rsid w:val="00A825F4"/>
    <w:rsid w:val="00A82777"/>
    <w:rsid w:val="00A84CC4"/>
    <w:rsid w:val="00A8553F"/>
    <w:rsid w:val="00A8638E"/>
    <w:rsid w:val="00A865AE"/>
    <w:rsid w:val="00A9151D"/>
    <w:rsid w:val="00A91A3D"/>
    <w:rsid w:val="00A95B0A"/>
    <w:rsid w:val="00AA2DC3"/>
    <w:rsid w:val="00AA477F"/>
    <w:rsid w:val="00AA59D0"/>
    <w:rsid w:val="00AB13EB"/>
    <w:rsid w:val="00AC001C"/>
    <w:rsid w:val="00AC16D8"/>
    <w:rsid w:val="00AC6F20"/>
    <w:rsid w:val="00AD0F69"/>
    <w:rsid w:val="00AE2347"/>
    <w:rsid w:val="00B05372"/>
    <w:rsid w:val="00B068DC"/>
    <w:rsid w:val="00B13227"/>
    <w:rsid w:val="00B140BD"/>
    <w:rsid w:val="00B1605D"/>
    <w:rsid w:val="00B17ECE"/>
    <w:rsid w:val="00B215EB"/>
    <w:rsid w:val="00B229D5"/>
    <w:rsid w:val="00B26404"/>
    <w:rsid w:val="00B26E4D"/>
    <w:rsid w:val="00B328DE"/>
    <w:rsid w:val="00B33747"/>
    <w:rsid w:val="00B35455"/>
    <w:rsid w:val="00B376BF"/>
    <w:rsid w:val="00B376FA"/>
    <w:rsid w:val="00B42A3C"/>
    <w:rsid w:val="00B42DC4"/>
    <w:rsid w:val="00B450B0"/>
    <w:rsid w:val="00B4755F"/>
    <w:rsid w:val="00B6535F"/>
    <w:rsid w:val="00B737E8"/>
    <w:rsid w:val="00B746FE"/>
    <w:rsid w:val="00B82F15"/>
    <w:rsid w:val="00B83537"/>
    <w:rsid w:val="00B85DAF"/>
    <w:rsid w:val="00B9072E"/>
    <w:rsid w:val="00B97722"/>
    <w:rsid w:val="00B97CAF"/>
    <w:rsid w:val="00BC1BF0"/>
    <w:rsid w:val="00BC2572"/>
    <w:rsid w:val="00BD192E"/>
    <w:rsid w:val="00BD3AAD"/>
    <w:rsid w:val="00BD53AF"/>
    <w:rsid w:val="00BD6549"/>
    <w:rsid w:val="00BE36D6"/>
    <w:rsid w:val="00BE6130"/>
    <w:rsid w:val="00BF1725"/>
    <w:rsid w:val="00C0144A"/>
    <w:rsid w:val="00C05DBF"/>
    <w:rsid w:val="00C06DDB"/>
    <w:rsid w:val="00C23B19"/>
    <w:rsid w:val="00C2502E"/>
    <w:rsid w:val="00C27767"/>
    <w:rsid w:val="00C4227D"/>
    <w:rsid w:val="00C423BB"/>
    <w:rsid w:val="00C435B4"/>
    <w:rsid w:val="00C479E4"/>
    <w:rsid w:val="00C524A8"/>
    <w:rsid w:val="00C5265C"/>
    <w:rsid w:val="00C60116"/>
    <w:rsid w:val="00C6111D"/>
    <w:rsid w:val="00C6112A"/>
    <w:rsid w:val="00C624F1"/>
    <w:rsid w:val="00C65E7D"/>
    <w:rsid w:val="00C752F1"/>
    <w:rsid w:val="00C8384C"/>
    <w:rsid w:val="00C86403"/>
    <w:rsid w:val="00C90631"/>
    <w:rsid w:val="00C91041"/>
    <w:rsid w:val="00C91E05"/>
    <w:rsid w:val="00CA4132"/>
    <w:rsid w:val="00CB03FD"/>
    <w:rsid w:val="00CB042E"/>
    <w:rsid w:val="00CD3097"/>
    <w:rsid w:val="00CE448F"/>
    <w:rsid w:val="00CE4524"/>
    <w:rsid w:val="00D042A6"/>
    <w:rsid w:val="00D12DC4"/>
    <w:rsid w:val="00D14A0E"/>
    <w:rsid w:val="00D166FB"/>
    <w:rsid w:val="00D270AF"/>
    <w:rsid w:val="00D27C6B"/>
    <w:rsid w:val="00D32A23"/>
    <w:rsid w:val="00D336D5"/>
    <w:rsid w:val="00D43A83"/>
    <w:rsid w:val="00D44853"/>
    <w:rsid w:val="00D44A06"/>
    <w:rsid w:val="00D511F9"/>
    <w:rsid w:val="00D51923"/>
    <w:rsid w:val="00D52022"/>
    <w:rsid w:val="00D53880"/>
    <w:rsid w:val="00D57CB9"/>
    <w:rsid w:val="00D60E72"/>
    <w:rsid w:val="00D6308C"/>
    <w:rsid w:val="00D700E1"/>
    <w:rsid w:val="00D737A7"/>
    <w:rsid w:val="00D7440A"/>
    <w:rsid w:val="00D7712F"/>
    <w:rsid w:val="00D77A6A"/>
    <w:rsid w:val="00D8185D"/>
    <w:rsid w:val="00D84212"/>
    <w:rsid w:val="00D87C7D"/>
    <w:rsid w:val="00D943A2"/>
    <w:rsid w:val="00DA3873"/>
    <w:rsid w:val="00DB192C"/>
    <w:rsid w:val="00DB25AF"/>
    <w:rsid w:val="00DB3500"/>
    <w:rsid w:val="00DB4550"/>
    <w:rsid w:val="00DB5E86"/>
    <w:rsid w:val="00DC18CD"/>
    <w:rsid w:val="00DD37A6"/>
    <w:rsid w:val="00DD7279"/>
    <w:rsid w:val="00DE018B"/>
    <w:rsid w:val="00DE424F"/>
    <w:rsid w:val="00DF6B34"/>
    <w:rsid w:val="00E00A9C"/>
    <w:rsid w:val="00E1022D"/>
    <w:rsid w:val="00E11227"/>
    <w:rsid w:val="00E12AEA"/>
    <w:rsid w:val="00E17784"/>
    <w:rsid w:val="00E22E39"/>
    <w:rsid w:val="00E26E85"/>
    <w:rsid w:val="00E36636"/>
    <w:rsid w:val="00E43775"/>
    <w:rsid w:val="00E46D17"/>
    <w:rsid w:val="00E56F3E"/>
    <w:rsid w:val="00E6280E"/>
    <w:rsid w:val="00E64826"/>
    <w:rsid w:val="00E70C2B"/>
    <w:rsid w:val="00E80012"/>
    <w:rsid w:val="00E81AB1"/>
    <w:rsid w:val="00E82257"/>
    <w:rsid w:val="00E86045"/>
    <w:rsid w:val="00E93703"/>
    <w:rsid w:val="00E951E2"/>
    <w:rsid w:val="00EA58DD"/>
    <w:rsid w:val="00EA7095"/>
    <w:rsid w:val="00EB1C5A"/>
    <w:rsid w:val="00EB5FCD"/>
    <w:rsid w:val="00EC1187"/>
    <w:rsid w:val="00EC1576"/>
    <w:rsid w:val="00EC288A"/>
    <w:rsid w:val="00EE1C59"/>
    <w:rsid w:val="00EE322E"/>
    <w:rsid w:val="00EF3A17"/>
    <w:rsid w:val="00EF6C5C"/>
    <w:rsid w:val="00F00E74"/>
    <w:rsid w:val="00F10BBC"/>
    <w:rsid w:val="00F221AA"/>
    <w:rsid w:val="00F2331D"/>
    <w:rsid w:val="00F33265"/>
    <w:rsid w:val="00F33764"/>
    <w:rsid w:val="00F400D9"/>
    <w:rsid w:val="00F4342C"/>
    <w:rsid w:val="00F5044C"/>
    <w:rsid w:val="00F53904"/>
    <w:rsid w:val="00F7677D"/>
    <w:rsid w:val="00F77A61"/>
    <w:rsid w:val="00F92CC9"/>
    <w:rsid w:val="00F933F7"/>
    <w:rsid w:val="00F96626"/>
    <w:rsid w:val="00F97852"/>
    <w:rsid w:val="00FC3230"/>
    <w:rsid w:val="00FC3FF2"/>
    <w:rsid w:val="00FC4EE5"/>
    <w:rsid w:val="00FD05BA"/>
    <w:rsid w:val="00FD164B"/>
    <w:rsid w:val="00FE79E3"/>
    <w:rsid w:val="00FF09C1"/>
    <w:rsid w:val="00FF3050"/>
    <w:rsid w:val="00FF3DBD"/>
    <w:rsid w:val="00FF41D5"/>
    <w:rsid w:val="00FF55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E39"/>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102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ind w:left="1701" w:hanging="170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22E39"/>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overflowPunct/>
      <w:autoSpaceDE/>
      <w:autoSpaceDN/>
      <w:adjustRightInd/>
      <w:spacing w:after="180" w:line="288" w:lineRule="auto"/>
      <w:ind w:firstLine="360"/>
      <w:textAlignment w:val="auto"/>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overflowPunct/>
      <w:autoSpaceDE/>
      <w:autoSpaceDN/>
      <w:adjustRightInd/>
      <w:spacing w:after="180" w:line="336" w:lineRule="auto"/>
      <w:ind w:firstLineChars="200" w:firstLine="200"/>
      <w:textAlignment w:val="auto"/>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qFormat/>
    <w:rsid w:val="000C223D"/>
    <w:rPr>
      <w:i/>
      <w:iCs/>
    </w:rPr>
  </w:style>
  <w:style w:type="table" w:styleId="TableGrid">
    <w:name w:val="Table Grid"/>
    <w:basedOn w:val="TableNormal"/>
    <w:uiPriority w:val="5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iPriority w:val="99"/>
    <w:unhideWhenUsed/>
    <w:rsid w:val="00B737E8"/>
    <w:rPr>
      <w:sz w:val="16"/>
      <w:szCs w:val="16"/>
    </w:rPr>
  </w:style>
  <w:style w:type="paragraph" w:styleId="CommentText">
    <w:name w:val="annotation text"/>
    <w:basedOn w:val="Normal"/>
    <w:link w:val="CommentTextChar"/>
    <w:uiPriority w:val="99"/>
    <w:unhideWhenUsed/>
    <w:rsid w:val="00B737E8"/>
  </w:style>
  <w:style w:type="character" w:customStyle="1" w:styleId="CommentTextChar">
    <w:name w:val="Comment Text Char"/>
    <w:basedOn w:val="DefaultParagraphFont"/>
    <w:link w:val="CommentText"/>
    <w:uiPriority w:val="99"/>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overflowPunct/>
      <w:autoSpaceDE/>
      <w:autoSpaceDN/>
      <w:adjustRightInd/>
      <w:spacing w:after="0" w:line="259" w:lineRule="auto"/>
      <w:jc w:val="left"/>
      <w:textAlignment w:val="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overflowPunct/>
      <w:autoSpaceDE/>
      <w:autoSpaceDN/>
      <w:adjustRightInd/>
      <w:spacing w:before="40" w:after="40"/>
      <w:ind w:left="100" w:right="100"/>
      <w:jc w:val="left"/>
      <w:textAlignment w:val="auto"/>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overflowPunct/>
      <w:autoSpaceDE/>
      <w:autoSpaceDN/>
      <w:adjustRightInd/>
      <w:spacing w:before="0" w:after="180"/>
      <w:ind w:left="851" w:hanging="284"/>
      <w:textAlignment w:val="auto"/>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overflowPunct/>
      <w:autoSpaceDE/>
      <w:autoSpaceDN/>
      <w:adjustRightInd/>
      <w:spacing w:after="0"/>
      <w:ind w:left="454" w:hanging="454"/>
      <w:jc w:val="left"/>
      <w:textAlignment w:val="auto"/>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6"/>
      </w:numPr>
      <w:tabs>
        <w:tab w:val="clear" w:pos="360"/>
      </w:tabs>
      <w:overflowPunct/>
      <w:autoSpaceDE/>
      <w:autoSpaceDN/>
      <w:adjustRightInd/>
      <w:spacing w:after="0"/>
      <w:ind w:left="357" w:hanging="357"/>
      <w:jc w:val="left"/>
      <w:textAlignment w:val="auto"/>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overflowPunct/>
      <w:autoSpaceDE/>
      <w:autoSpaceDN/>
      <w:adjustRightInd/>
      <w:spacing w:before="0" w:after="180"/>
      <w:ind w:left="568" w:hanging="284"/>
      <w:textAlignment w:val="auto"/>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overflowPunct/>
      <w:autoSpaceDE/>
      <w:autoSpaceDN/>
      <w:adjustRightInd/>
      <w:spacing w:before="0" w:after="180"/>
      <w:ind w:left="568" w:hanging="284"/>
      <w:textAlignment w:val="auto"/>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overflowPunct/>
      <w:autoSpaceDE/>
      <w:autoSpaceDN/>
      <w:adjustRightInd/>
      <w:spacing w:after="180"/>
      <w:ind w:left="851"/>
      <w:jc w:val="left"/>
      <w:textAlignment w:val="auto"/>
    </w:pPr>
    <w:rPr>
      <w:lang w:eastAsia="en-US"/>
    </w:rPr>
  </w:style>
  <w:style w:type="paragraph" w:customStyle="1" w:styleId="INDENT2">
    <w:name w:val="INDENT2"/>
    <w:basedOn w:val="Normal"/>
    <w:rsid w:val="002D3732"/>
    <w:pPr>
      <w:overflowPunct/>
      <w:autoSpaceDE/>
      <w:autoSpaceDN/>
      <w:adjustRightInd/>
      <w:spacing w:after="180"/>
      <w:ind w:left="1135" w:hanging="284"/>
      <w:jc w:val="left"/>
      <w:textAlignment w:val="auto"/>
    </w:pPr>
    <w:rPr>
      <w:lang w:eastAsia="en-US"/>
    </w:rPr>
  </w:style>
  <w:style w:type="paragraph" w:customStyle="1" w:styleId="INDENT3">
    <w:name w:val="INDENT3"/>
    <w:basedOn w:val="Normal"/>
    <w:rsid w:val="002D3732"/>
    <w:pPr>
      <w:overflowPunct/>
      <w:autoSpaceDE/>
      <w:autoSpaceDN/>
      <w:adjustRightInd/>
      <w:spacing w:after="180"/>
      <w:ind w:left="1701" w:hanging="567"/>
      <w:jc w:val="left"/>
      <w:textAlignment w:val="auto"/>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2D3732"/>
    <w:pPr>
      <w:keepNext/>
      <w:keepLines/>
      <w:overflowPunct/>
      <w:autoSpaceDE/>
      <w:autoSpaceDN/>
      <w:adjustRightInd/>
      <w:spacing w:after="180"/>
      <w:jc w:val="left"/>
      <w:textAlignment w:val="auto"/>
    </w:pPr>
    <w:rPr>
      <w:b/>
      <w:lang w:eastAsia="en-US"/>
    </w:rPr>
  </w:style>
  <w:style w:type="paragraph" w:customStyle="1" w:styleId="enumlev2">
    <w:name w:val="enumlev2"/>
    <w:basedOn w:val="Normal"/>
    <w:rsid w:val="002D3732"/>
    <w:pPr>
      <w:tabs>
        <w:tab w:val="left" w:pos="794"/>
        <w:tab w:val="left" w:pos="1191"/>
        <w:tab w:val="left" w:pos="1588"/>
        <w:tab w:val="left" w:pos="1985"/>
      </w:tabs>
      <w:overflowPunct/>
      <w:autoSpaceDE/>
      <w:autoSpaceDN/>
      <w:adjustRightInd/>
      <w:spacing w:before="86" w:after="180"/>
      <w:ind w:left="1588" w:hanging="397"/>
      <w:textAlignment w:val="auto"/>
    </w:pPr>
    <w:rPr>
      <w:lang w:eastAsia="en-US"/>
    </w:rPr>
  </w:style>
  <w:style w:type="paragraph" w:customStyle="1" w:styleId="CouvRecTitle">
    <w:name w:val="Couv Rec Title"/>
    <w:basedOn w:val="Normal"/>
    <w:rsid w:val="002D3732"/>
    <w:pPr>
      <w:keepNext/>
      <w:keepLines/>
      <w:overflowPunct/>
      <w:autoSpaceDE/>
      <w:autoSpaceDN/>
      <w:adjustRightInd/>
      <w:spacing w:before="240" w:after="180"/>
      <w:ind w:left="1418"/>
      <w:jc w:val="left"/>
      <w:textAlignment w:val="auto"/>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overflowPunct/>
      <w:autoSpaceDE/>
      <w:autoSpaceDN/>
      <w:adjustRightInd/>
      <w:spacing w:after="180"/>
      <w:jc w:val="left"/>
      <w:textAlignment w:val="auto"/>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overflowPunct/>
      <w:autoSpaceDE/>
      <w:autoSpaceDN/>
      <w:adjustRightInd/>
      <w:spacing w:after="180"/>
      <w:textAlignment w:val="auto"/>
    </w:pPr>
  </w:style>
  <w:style w:type="paragraph" w:customStyle="1" w:styleId="Guidance">
    <w:name w:val="Guidance"/>
    <w:basedOn w:val="Normal"/>
    <w:rsid w:val="002D3732"/>
    <w:pPr>
      <w:overflowPunct/>
      <w:autoSpaceDE/>
      <w:autoSpaceDN/>
      <w:adjustRightInd/>
      <w:spacing w:after="180"/>
      <w:jc w:val="left"/>
      <w:textAlignment w:val="auto"/>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qFormat/>
    <w:rsid w:val="002D3732"/>
    <w:rPr>
      <w:b/>
      <w:bCs/>
    </w:rPr>
  </w:style>
  <w:style w:type="paragraph" w:styleId="NormalWeb">
    <w:name w:val="Normal (Web)"/>
    <w:basedOn w:val="Normal"/>
    <w:uiPriority w:val="99"/>
    <w:unhideWhenUsed/>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overflowPunct/>
      <w:autoSpaceDE/>
      <w:autoSpaceDN/>
      <w:adjustRightInd/>
      <w:spacing w:before="100" w:beforeAutospacing="1" w:after="100" w:afterAutospacing="1"/>
      <w:jc w:val="left"/>
      <w:textAlignment w:val="auto"/>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7"/>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overflowPunct/>
      <w:autoSpaceDE/>
      <w:autoSpaceDN/>
      <w:adjustRightInd/>
      <w:spacing w:before="180" w:after="180" w:line="480" w:lineRule="auto"/>
      <w:ind w:left="720" w:firstLine="720"/>
      <w:jc w:val="left"/>
      <w:textAlignment w:val="auto"/>
    </w:pPr>
    <w:rPr>
      <w:sz w:val="24"/>
      <w:lang w:eastAsia="en-US"/>
    </w:rPr>
  </w:style>
  <w:style w:type="paragraph" w:customStyle="1" w:styleId="ApplicationBody1">
    <w:name w:val="Application Body 1"/>
    <w:basedOn w:val="Normal"/>
    <w:link w:val="ApplicationBody1Char"/>
    <w:qFormat/>
    <w:rsid w:val="002D3732"/>
    <w:pPr>
      <w:numPr>
        <w:numId w:val="9"/>
      </w:numPr>
      <w:overflowPunct/>
      <w:autoSpaceDE/>
      <w:autoSpaceDN/>
      <w:adjustRightInd/>
      <w:spacing w:after="0" w:line="360" w:lineRule="auto"/>
      <w:ind w:left="0" w:firstLine="720"/>
      <w:textAlignment w:val="auto"/>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eastAsiaTheme="minorEastAsia" w:hAnsi="Times New Roman" w:cs="Times New Roman"/>
      <w:snapToGrid w:val="0"/>
      <w:sz w:val="24"/>
      <w:szCs w:val="24"/>
    </w:rPr>
  </w:style>
  <w:style w:type="paragraph" w:customStyle="1" w:styleId="ClaimPreamble">
    <w:name w:val="Claim Preamble"/>
    <w:basedOn w:val="Normal"/>
    <w:link w:val="ClaimPreambleChar"/>
    <w:qFormat/>
    <w:rsid w:val="002D3732"/>
    <w:pPr>
      <w:numPr>
        <w:numId w:val="10"/>
      </w:numPr>
      <w:tabs>
        <w:tab w:val="clear" w:pos="2160"/>
        <w:tab w:val="left" w:pos="720"/>
      </w:tabs>
      <w:overflowPunct/>
      <w:autoSpaceDE/>
      <w:autoSpaceDN/>
      <w:adjustRightInd/>
      <w:spacing w:before="240" w:after="0" w:line="360" w:lineRule="auto"/>
      <w:ind w:left="720" w:hanging="720"/>
      <w:jc w:val="left"/>
      <w:textAlignment w:val="auto"/>
    </w:pPr>
    <w:rPr>
      <w:rFonts w:eastAsiaTheme="minorEastAsia"/>
      <w:sz w:val="24"/>
      <w:szCs w:val="24"/>
      <w:lang w:eastAsia="en-US"/>
    </w:rPr>
  </w:style>
  <w:style w:type="character" w:customStyle="1" w:styleId="ClaimPreambleChar">
    <w:name w:val="Claim Preamble Char"/>
    <w:link w:val="ClaimPreamble"/>
    <w:rsid w:val="002D3732"/>
    <w:rPr>
      <w:rFonts w:ascii="Times New Roman" w:eastAsiaTheme="minorEastAsia"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overflowPunct/>
      <w:autoSpaceDE/>
      <w:autoSpaceDN/>
      <w:adjustRightInd/>
      <w:spacing w:after="0" w:line="360" w:lineRule="auto"/>
      <w:ind w:left="2160" w:hanging="720"/>
      <w:jc w:val="left"/>
      <w:textAlignment w:val="auto"/>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2075367">
      <w:bodyDiv w:val="1"/>
      <w:marLeft w:val="0"/>
      <w:marRight w:val="0"/>
      <w:marTop w:val="0"/>
      <w:marBottom w:val="0"/>
      <w:divBdr>
        <w:top w:val="none" w:sz="0" w:space="0" w:color="auto"/>
        <w:left w:val="none" w:sz="0" w:space="0" w:color="auto"/>
        <w:bottom w:val="none" w:sz="0" w:space="0" w:color="auto"/>
        <w:right w:val="none" w:sz="0" w:space="0" w:color="auto"/>
      </w:divBdr>
    </w:div>
    <w:div w:id="108791232">
      <w:bodyDiv w:val="1"/>
      <w:marLeft w:val="0"/>
      <w:marRight w:val="0"/>
      <w:marTop w:val="0"/>
      <w:marBottom w:val="0"/>
      <w:divBdr>
        <w:top w:val="none" w:sz="0" w:space="0" w:color="auto"/>
        <w:left w:val="none" w:sz="0" w:space="0" w:color="auto"/>
        <w:bottom w:val="none" w:sz="0" w:space="0" w:color="auto"/>
        <w:right w:val="none" w:sz="0" w:space="0" w:color="auto"/>
      </w:divBdr>
    </w:div>
    <w:div w:id="116263049">
      <w:bodyDiv w:val="1"/>
      <w:marLeft w:val="0"/>
      <w:marRight w:val="0"/>
      <w:marTop w:val="0"/>
      <w:marBottom w:val="0"/>
      <w:divBdr>
        <w:top w:val="none" w:sz="0" w:space="0" w:color="auto"/>
        <w:left w:val="none" w:sz="0" w:space="0" w:color="auto"/>
        <w:bottom w:val="none" w:sz="0" w:space="0" w:color="auto"/>
        <w:right w:val="none" w:sz="0" w:space="0" w:color="auto"/>
      </w:divBdr>
    </w:div>
    <w:div w:id="139617475">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669411093">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29219576">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40266005">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5550842">
      <w:bodyDiv w:val="1"/>
      <w:marLeft w:val="0"/>
      <w:marRight w:val="0"/>
      <w:marTop w:val="0"/>
      <w:marBottom w:val="0"/>
      <w:divBdr>
        <w:top w:val="none" w:sz="0" w:space="0" w:color="auto"/>
        <w:left w:val="none" w:sz="0" w:space="0" w:color="auto"/>
        <w:bottom w:val="none" w:sz="0" w:space="0" w:color="auto"/>
        <w:right w:val="none" w:sz="0" w:space="0" w:color="auto"/>
      </w:divBdr>
    </w:div>
    <w:div w:id="1737121881">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7667399">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2015957428">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2702</Words>
  <Characters>15404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2020-08-08T02:31:00Z</dcterms:created>
  <dcterms:modified xsi:type="dcterms:W3CDTF">2020-08-08T02:32:00Z</dcterms:modified>
</cp:coreProperties>
</file>